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b/>
          <w:bCs/>
          <w:color w:val="B8860B"/>
          <w:sz w:val="28"/>
          <w:szCs w:val="28"/>
        </w:rPr>
        <w:t xml:space="preserve">CRM JA CHARITY</w:t>
      </w:r>
    </w:p>
    <w:p>
      <w:pPr>
        <w:spacing w:after="120"/>
        <w:jc w:val="center"/>
      </w:pPr>
      <w:r>
        <w:rPr>
          <w:b/>
          <w:bCs/>
          <w:color w:val="1F5C3A"/>
          <w:sz w:val="44"/>
          <w:szCs w:val="44"/>
        </w:rPr>
        <w:t xml:space="preserve">Jamaica Food Security &amp; Climate-Resilient Tree Crop Programme</w:t>
      </w:r>
    </w:p>
    <w:p>
      <w:pPr>
        <w:spacing w:after="600"/>
        <w:jc w:val="center"/>
      </w:pPr>
      <w:r>
        <w:rPr>
          <w:i/>
          <w:iCs/>
          <w:color w:val="555555"/>
          <w:sz w:val="26"/>
          <w:szCs w:val="26"/>
        </w:rPr>
        <w:t xml:space="preserve">Post-Hurricane Melissa Agricultural Recovery Through Smallholder Agroforestry — Breadfruit as Flagship Crop</w:t>
      </w:r>
    </w:p>
    <w:p>
      <w:pPr>
        <w:spacing w:after="80"/>
        <w:jc w:val="center"/>
      </w:pPr>
      <w:r>
        <w:rPr>
          <w:b/>
          <w:bCs/>
          <w:sz w:val="22"/>
          <w:szCs w:val="22"/>
        </w:rPr>
        <w:t xml:space="preserve">PROGRAMME PROPOSAL FOR INTERNATIONAL DEVELOPMENT PARTNERS</w:t>
      </w:r>
    </w:p>
    <w:p>
      <w:pPr>
        <w:spacing w:after="80"/>
        <w:jc w:val="center"/>
      </w:pPr>
      <w:r>
        <w:rPr>
          <w:sz w:val="22"/>
          <w:szCs w:val="22"/>
        </w:rPr>
        <w:t xml:space="preserve">Phase I: 1,000 smallholder farmers · 50,000 trees · Westmoreland and Western Jamaica</w:t>
      </w:r>
    </w:p>
    <w:p>
      <w:pPr>
        <w:spacing w:after="1600"/>
        <w:jc w:val="center"/>
      </w:pPr>
      <w:r>
        <w:rPr>
          <w:sz w:val="22"/>
          <w:szCs w:val="22"/>
        </w:rPr>
        <w:t xml:space="preserve">Indicative Phase I request: US$3.1 million over 36 months</w:t>
      </w:r>
    </w:p>
    <w:p>
      <w:pPr>
        <w:spacing w:after="60"/>
        <w:jc w:val="center"/>
      </w:pPr>
      <w:r>
        <w:rPr>
          <w:sz w:val="20"/>
          <w:szCs w:val="20"/>
        </w:rPr>
        <w:t xml:space="preserve">Lead Applicant: CRM JA Charity (company limited by guarantee, Jamaica)</w:t>
      </w:r>
    </w:p>
    <w:p>
      <w:pPr>
        <w:spacing w:after="60"/>
        <w:jc w:val="center"/>
      </w:pPr>
      <w:r>
        <w:rPr>
          <w:sz w:val="20"/>
          <w:szCs w:val="20"/>
        </w:rPr>
        <w:t xml:space="preserve">CRM Center, Farm Pen Road, Savanna-la-Mar P.O., Westmoreland, Jamaica</w:t>
      </w:r>
    </w:p>
    <w:p>
      <w:pPr>
        <w:spacing w:after="60"/>
        <w:jc w:val="center"/>
      </w:pPr>
      <w:r>
        <w:rPr>
          <w:sz w:val="20"/>
          <w:szCs w:val="20"/>
        </w:rPr>
        <w:t xml:space="preserve">Contact: Norman Anderson, Chairman · 876-587-0097 · westcomjamaica@gmail.com</w:t>
      </w:r>
    </w:p>
    <w:p>
      <w:pPr>
        <w:spacing w:after="60"/>
        <w:jc w:val="center"/>
      </w:pPr>
      <w:r>
        <w:rPr>
          <w:color w:val="555555"/>
          <w:sz w:val="20"/>
          <w:szCs w:val="20"/>
        </w:rPr>
        <w:t xml:space="preserve">September 2026 · Version 1.2 — Concept Note for Partner Discussion</w:t>
      </w:r>
    </w:p>
    <w:p>
      <w:r>
        <w:br w:type="page"/>
      </w:r>
    </w:p>
    <w:p>
      <w:pPr>
        <w:pStyle w:val="Heading1"/>
        <w:spacing w:after="160" w:before="360"/>
      </w:pPr>
      <w:r>
        <w:rPr>
          <w:b/>
          <w:bCs/>
          <w:color w:val="1F5C3A"/>
          <w:sz w:val="30"/>
          <w:szCs w:val="30"/>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160" w:before="360"/>
      </w:pPr>
      <w:r>
        <w:rPr>
          <w:b/>
          <w:bCs/>
          <w:color w:val="1F5C3A"/>
          <w:sz w:val="30"/>
          <w:szCs w:val="30"/>
        </w:rPr>
        <w:t xml:space="preserve">1. Executive Summary</w:t>
      </w:r>
    </w:p>
    <w:p>
      <w:pPr>
        <w:spacing w:after="120" w:line="276"/>
        <w:jc w:val="left"/>
      </w:pPr>
      <w:r>
        <w:rPr>
          <w:sz w:val="22"/>
          <w:szCs w:val="22"/>
        </w:rPr>
        <w:t xml:space="preserve">Hurricane Melissa destroyed a large share of Jamaica's tree-crop and staple food production, with Westmoreland and the western parishes among the hardest hit. The households who lost the most were smallholder farmers with the least capacity to replant — and many of the crops they lost, such as breadfruit, take years to re-establish. Without deliberate intervention, the recovery will default to vulnerable annual monocropping, higher food-import dependence and deeper rural poverty.</w:t>
      </w:r>
    </w:p>
    <w:p>
      <w:pPr>
        <w:spacing w:after="120" w:line="276"/>
        <w:jc w:val="left"/>
      </w:pPr>
      <w:r>
        <w:rPr>
          <w:sz w:val="22"/>
          <w:szCs w:val="22"/>
        </w:rPr>
        <w:t xml:space="preserve">CRM JA Charity proposes the Jamaica Food Security &amp; Climate-Resilient Tree Crop Programme: a smallholder agroforestry programme that gives low-income farming households a productive, long-lived asset base, the skills to manage it, and a guaranteed market for what it produces. Breadfruit is the flagship crop, planted alongside breadnut, ackee, avocado, mango, coconut, cocoa and short-cycle food crops to create diversified, hurricane-resilient farming systems.</w:t>
      </w:r>
    </w:p>
    <w:p>
      <w:pPr>
        <w:spacing w:after="120" w:line="276"/>
        <w:jc w:val="left"/>
      </w:pPr>
      <w:r>
        <w:rPr>
          <w:sz w:val="22"/>
          <w:szCs w:val="22"/>
        </w:rPr>
        <w:t xml:space="preserve">Phase I enrols 1,000 farming households across Westmoreland and neighbouring parishes, establishes 50,000 trees on approximately 400 hectares, builds a community nursery and a Breadfruit Aggregation &amp; Processing Centre in Savanna-la-Mar, and creates the farmer organisation and market linkages that make the system self-sustaining. Phase II scales to 5,000 farmers and 250,000 trees; a regional Caribbean phase is outlined for discussion with the Caribbean Development Bank.</w:t>
      </w:r>
    </w:p>
    <w:p>
      <w:pPr>
        <w:spacing w:after="120" w:line="276"/>
        <w:jc w:val="left"/>
      </w:pPr>
      <w:r>
        <w:rPr>
          <w:sz w:val="22"/>
          <w:szCs w:val="22"/>
        </w:rPr>
        <w:t xml:space="preserve">The programme is designed to deliver — and measure — four public benefits that align directly with the priorities of the Green Climate Fund, FAO, the Adaptation Fund, IFAD, GEF and the regional development banks:</w:t>
      </w:r>
    </w:p>
    <w:p>
      <w:pPr>
        <w:pStyle w:val="ListParagraph"/>
        <w:numPr>
          <w:ilvl w:val="0"/>
          <w:numId w:val="2"/>
        </w:numPr>
        <w:spacing w:after="80" w:line="264"/>
      </w:pPr>
      <w:r>
        <w:rPr>
          <w:b/>
          <w:bCs/>
          <w:sz w:val="22"/>
          <w:szCs w:val="22"/>
        </w:rPr>
        <w:t xml:space="preserve">Food security: </w:t>
      </w:r>
      <w:r>
        <w:rPr>
          <w:sz w:val="22"/>
          <w:szCs w:val="22"/>
        </w:rPr>
        <w:t xml:space="preserve">a locally produced carbohydrate staple and fruit supply that reduces import dependence — and, freeze-dried, a shelf-stable emergency food reserve.</w:t>
      </w:r>
    </w:p>
    <w:p>
      <w:pPr>
        <w:pStyle w:val="ListParagraph"/>
        <w:numPr>
          <w:ilvl w:val="0"/>
          <w:numId w:val="2"/>
        </w:numPr>
        <w:spacing w:after="80" w:line="264"/>
      </w:pPr>
      <w:r>
        <w:rPr>
          <w:b/>
          <w:bCs/>
          <w:sz w:val="22"/>
          <w:szCs w:val="22"/>
        </w:rPr>
        <w:t xml:space="preserve">Poverty reduction: </w:t>
      </w:r>
      <w:r>
        <w:rPr>
          <w:sz w:val="22"/>
          <w:szCs w:val="22"/>
        </w:rPr>
        <w:t xml:space="preserve">income-generating perennial assets that yield for decades, owned by the households themselves.</w:t>
      </w:r>
    </w:p>
    <w:p>
      <w:pPr>
        <w:pStyle w:val="ListParagraph"/>
        <w:numPr>
          <w:ilvl w:val="0"/>
          <w:numId w:val="2"/>
        </w:numPr>
        <w:spacing w:after="80" w:line="264"/>
      </w:pPr>
      <w:r>
        <w:rPr>
          <w:b/>
          <w:bCs/>
          <w:sz w:val="22"/>
          <w:szCs w:val="22"/>
        </w:rPr>
        <w:t xml:space="preserve">Climate resilience: </w:t>
      </w:r>
      <w:r>
        <w:rPr>
          <w:sz w:val="22"/>
          <w:szCs w:val="22"/>
        </w:rPr>
        <w:t xml:space="preserve">diversified perennial systems replacing storm-vulnerable annual monocropping, with soil, watershed and carbon benefits.</w:t>
      </w:r>
    </w:p>
    <w:p>
      <w:pPr>
        <w:pStyle w:val="ListParagraph"/>
        <w:numPr>
          <w:ilvl w:val="0"/>
          <w:numId w:val="2"/>
        </w:numPr>
        <w:spacing w:after="80" w:line="264"/>
      </w:pPr>
      <w:r>
        <w:rPr>
          <w:b/>
          <w:bCs/>
          <w:sz w:val="22"/>
          <w:szCs w:val="22"/>
        </w:rPr>
        <w:t xml:space="preserve">Rural employment for women and youth: </w:t>
      </w:r>
      <w:r>
        <w:rPr>
          <w:sz w:val="22"/>
          <w:szCs w:val="22"/>
        </w:rPr>
        <w:t xml:space="preserve">nursery, planting, harvesting, processing and distribution jobs.</w:t>
      </w:r>
    </w:p>
    <w:p>
      <w:pPr>
        <w:spacing w:after="120" w:line="276"/>
        <w:jc w:val="left"/>
      </w:pPr>
      <w:r>
        <w:rPr>
          <w:sz w:val="22"/>
          <w:szCs w:val="22"/>
        </w:rPr>
        <w:t xml:space="preserve">The programme already has land: 74 acres of former sugar land at Shrewsbury, Westmoreland, leased from SCJ Holdings Limited and being transferred to the charity as its founding contribution, for the nursery, demonstration farm and first plantings.</w:t>
      </w:r>
    </w:p>
    <w:p>
      <w:pPr>
        <w:spacing w:after="120" w:line="276"/>
        <w:jc w:val="left"/>
      </w:pPr>
      <w:r>
        <w:rPr>
          <w:sz w:val="22"/>
          <w:szCs w:val="22"/>
        </w:rPr>
        <w:t xml:space="preserve">Indicative Phase I budget: US$3.1 million over 36 months, with co-financing from CRM Jamaica Group (the Shrewsbury leasehold plus technology, farm-mapping and monitoring systems in kind), the Government of Jamaica (in kind through RADA extension services) and participating farmers (labour and land).</w:t>
      </w:r>
    </w:p>
    <w:p>
      <w:r>
        <w:br w:type="page"/>
      </w:r>
    </w:p>
    <w:p>
      <w:pPr>
        <w:pStyle w:val="Heading1"/>
        <w:spacing w:after="160" w:before="360"/>
      </w:pPr>
      <w:r>
        <w:rPr>
          <w:b/>
          <w:bCs/>
          <w:color w:val="1F5C3A"/>
          <w:sz w:val="30"/>
          <w:szCs w:val="30"/>
        </w:rPr>
        <w:t xml:space="preserve">2. The Problem</w:t>
      </w:r>
    </w:p>
    <w:p>
      <w:pPr>
        <w:pStyle w:val="Heading2"/>
        <w:spacing w:after="120" w:before="240"/>
      </w:pPr>
      <w:r>
        <w:rPr>
          <w:b/>
          <w:bCs/>
          <w:color w:val="1F5C3A"/>
          <w:sz w:val="25"/>
          <w:szCs w:val="25"/>
        </w:rPr>
        <w:t xml:space="preserve">2.1 Hurricane Melissa and the loss of productive capacity</w:t>
      </w:r>
    </w:p>
    <w:p>
      <w:pPr>
        <w:spacing w:after="120" w:line="276"/>
        <w:jc w:val="left"/>
      </w:pPr>
      <w:r>
        <w:rPr>
          <w:sz w:val="22"/>
          <w:szCs w:val="22"/>
        </w:rPr>
        <w:t xml:space="preserve">Hurricane Melissa stripped orchards, felled mature breadfruit and fruit trees, and destroyed the livelihoods of thousands of small farmers across western Jamaica. Unlike a vegetable crop that can be replanted in a season, a breadfruit or ackee tree destroyed today is a loss of ten to twenty years of production. Relief programmes have addressed immediate food needs, but very little has been directed at rebuilding the perennial productive base that fed these communities.</w:t>
      </w:r>
    </w:p>
    <w:p>
      <w:pPr>
        <w:pStyle w:val="Heading2"/>
        <w:spacing w:after="120" w:before="240"/>
      </w:pPr>
      <w:r>
        <w:rPr>
          <w:b/>
          <w:bCs/>
          <w:color w:val="1F5C3A"/>
          <w:sz w:val="25"/>
          <w:szCs w:val="25"/>
        </w:rPr>
        <w:t xml:space="preserve">2.2 Food-import dependence</w:t>
      </w:r>
    </w:p>
    <w:p>
      <w:pPr>
        <w:spacing w:after="120" w:line="276"/>
        <w:jc w:val="left"/>
      </w:pPr>
      <w:r>
        <w:rPr>
          <w:sz w:val="22"/>
          <w:szCs w:val="22"/>
        </w:rPr>
        <w:t xml:space="preserve">Jamaica imports a large proportion of its staple carbohydrates. Breadfruit is a proven local substitute — nutritious, high-yielding, requiring minimal inputs once established, and processable into flour, chips and frozen product with long shelf life. Yet supply is fragmented, seasonal and largely uncommercialised.</w:t>
      </w:r>
    </w:p>
    <w:p>
      <w:pPr>
        <w:pStyle w:val="Heading2"/>
        <w:spacing w:after="120" w:before="240"/>
      </w:pPr>
      <w:r>
        <w:rPr>
          <w:b/>
          <w:bCs/>
          <w:color w:val="1F5C3A"/>
          <w:sz w:val="25"/>
          <w:szCs w:val="25"/>
        </w:rPr>
        <w:t xml:space="preserve">2.3 Rural poverty and vulnerable smallholders</w:t>
      </w:r>
    </w:p>
    <w:p>
      <w:pPr>
        <w:spacing w:after="120" w:line="276"/>
        <w:jc w:val="left"/>
      </w:pPr>
      <w:r>
        <w:rPr>
          <w:sz w:val="22"/>
          <w:szCs w:val="22"/>
        </w:rPr>
        <w:t xml:space="preserve">Smallholder households in Westmoreland typically farm one to three acres, lack access to credit and quality planting material, and have no reliable buyer. They plant what sells this season, which locks them into low-margin annual crops exposed to every drought and storm. They own few assets that appreciate.</w:t>
      </w:r>
    </w:p>
    <w:p>
      <w:pPr>
        <w:pStyle w:val="Heading2"/>
        <w:spacing w:after="120" w:before="240"/>
      </w:pPr>
      <w:r>
        <w:rPr>
          <w:b/>
          <w:bCs/>
          <w:color w:val="1F5C3A"/>
          <w:sz w:val="25"/>
          <w:szCs w:val="25"/>
        </w:rPr>
        <w:t xml:space="preserve">2.4 Climate vulnerability</w:t>
      </w:r>
    </w:p>
    <w:p>
      <w:pPr>
        <w:spacing w:after="120" w:line="276"/>
        <w:jc w:val="left"/>
      </w:pPr>
      <w:r>
        <w:rPr>
          <w:sz w:val="22"/>
          <w:szCs w:val="22"/>
        </w:rPr>
        <w:t xml:space="preserve">Annual monocropping on sloping land leaves soils exposed, accelerates erosion and offers no buffer against increasingly intense hurricanes and drought. Perennial tree-crop and agroforestry systems are the recognised adaptation pathway for Caribbean smallholder agriculture, and are explicitly named in the current GCF/FAO climate-resilience programming for Jamaica.</w:t>
      </w:r>
    </w:p>
    <w:p>
      <w:pPr>
        <w:pStyle w:val="Heading1"/>
        <w:spacing w:after="160" w:before="360"/>
      </w:pPr>
      <w:r>
        <w:rPr>
          <w:b/>
          <w:bCs/>
          <w:color w:val="1F5C3A"/>
          <w:sz w:val="30"/>
          <w:szCs w:val="30"/>
        </w:rPr>
        <w:t xml:space="preserve">3. The Lead Applicant: CRM JA Charity</w:t>
      </w:r>
    </w:p>
    <w:p>
      <w:pPr>
        <w:spacing w:after="120" w:line="276"/>
        <w:jc w:val="left"/>
      </w:pPr>
      <w:r>
        <w:rPr>
          <w:sz w:val="22"/>
          <w:szCs w:val="22"/>
        </w:rPr>
        <w:t xml:space="preserve">CRM JA Charity is the charitable arm of CRM Jamaica Group, a Westmoreland-based enterprise group with divisions spanning e-commerce, education technology, CRM/ERP, compliance platforms, healthcare and community services. The charity is incorporated in Jamaica as a company limited by guarantee and is registered/registering with the Department of Co-operatives and Friendly Societies (Charities Authority) under the Charities Act. Its objects are: the advancement of education (including skills training); the advancement of health; the advancement of amateur sport; the relief of poverty and need; and disaster and public-emergency relief. Its area of benefit is Jamaica, in particular Westmoreland.</w:t>
      </w:r>
    </w:p>
    <w:p>
      <w:pPr>
        <w:spacing w:after="120" w:line="276"/>
        <w:jc w:val="left"/>
      </w:pPr>
      <w:r>
        <w:rPr>
          <w:sz w:val="22"/>
          <w:szCs w:val="22"/>
        </w:rPr>
        <w:t xml:space="preserve">This programme falls squarely within three of those objects. It is a disaster-recovery intervention following Hurricane Melissa; it relieves poverty by placing productive assets in the hands of low-income households; and it delivers structured agricultural skills training to every enrolled farmer.</w:t>
      </w:r>
    </w:p>
    <w:p>
      <w:pPr>
        <w:pStyle w:val="Heading2"/>
        <w:spacing w:after="120" w:before="240"/>
      </w:pPr>
      <w:r>
        <w:rPr>
          <w:b/>
          <w:bCs/>
          <w:color w:val="1F5C3A"/>
          <w:sz w:val="25"/>
          <w:szCs w:val="25"/>
        </w:rPr>
        <w:t xml:space="preserve">3.1 Governance</w:t>
      </w:r>
    </w:p>
    <w:p>
      <w:pPr>
        <w:pStyle w:val="ListParagraph"/>
        <w:numPr>
          <w:ilvl w:val="0"/>
          <w:numId w:val="2"/>
        </w:numPr>
        <w:spacing w:after="80" w:line="264"/>
      </w:pPr>
      <w:r>
        <w:rPr>
          <w:b/>
          <w:bCs/>
          <w:sz w:val="22"/>
          <w:szCs w:val="22"/>
        </w:rPr>
        <w:t xml:space="preserve">Chairman: </w:t>
      </w:r>
      <w:r>
        <w:rPr>
          <w:sz w:val="22"/>
          <w:szCs w:val="22"/>
        </w:rPr>
        <w:t xml:space="preserve">Norman Anderson — Managing Director of CRM Jamaica Group; former educator and long-standing figure in Westmoreland civic life (Chamber of Commerce, Rotary, Lions and alumni associations).</w:t>
      </w:r>
    </w:p>
    <w:p>
      <w:pPr>
        <w:pStyle w:val="ListParagraph"/>
        <w:numPr>
          <w:ilvl w:val="0"/>
          <w:numId w:val="2"/>
        </w:numPr>
        <w:spacing w:after="80" w:line="264"/>
      </w:pPr>
      <w:r>
        <w:rPr>
          <w:b/>
          <w:bCs/>
          <w:sz w:val="22"/>
          <w:szCs w:val="22"/>
        </w:rPr>
        <w:t xml:space="preserve">Company Secretary: </w:t>
      </w:r>
      <w:r>
        <w:rPr>
          <w:sz w:val="22"/>
          <w:szCs w:val="22"/>
        </w:rPr>
        <w:t xml:space="preserve">Winsome Bailey.</w:t>
      </w:r>
    </w:p>
    <w:p>
      <w:pPr>
        <w:pStyle w:val="ListParagraph"/>
        <w:numPr>
          <w:ilvl w:val="0"/>
          <w:numId w:val="2"/>
        </w:numPr>
        <w:spacing w:after="80" w:line="264"/>
      </w:pPr>
      <w:r>
        <w:rPr>
          <w:b/>
          <w:bCs/>
          <w:sz w:val="22"/>
          <w:szCs w:val="22"/>
        </w:rPr>
        <w:t xml:space="preserve">Programme Steering Committee (proposed): </w:t>
      </w:r>
      <w:r>
        <w:rPr>
          <w:sz w:val="22"/>
          <w:szCs w:val="22"/>
        </w:rPr>
        <w:t xml:space="preserve">Chairman, Secretary, a RADA parish representative, a farmer-organisation representative, a women-and-youth representative and an independent agronomist.</w:t>
      </w:r>
    </w:p>
    <w:p>
      <w:pPr>
        <w:pStyle w:val="Heading2"/>
        <w:spacing w:after="120" w:before="240"/>
      </w:pPr>
      <w:r>
        <w:rPr>
          <w:b/>
          <w:bCs/>
          <w:color w:val="1F5C3A"/>
          <w:sz w:val="25"/>
          <w:szCs w:val="25"/>
        </w:rPr>
        <w:t xml:space="preserve">3.2 What CRM JA Charity brings</w:t>
      </w:r>
    </w:p>
    <w:p>
      <w:pPr>
        <w:pStyle w:val="ListParagraph"/>
        <w:numPr>
          <w:ilvl w:val="0"/>
          <w:numId w:val="2"/>
        </w:numPr>
        <w:spacing w:after="80" w:line="264"/>
      </w:pPr>
      <w:r>
        <w:rPr>
          <w:sz w:val="22"/>
          <w:szCs w:val="22"/>
        </w:rPr>
        <w:t xml:space="preserve">Deep roots in Westmoreland — the parish most in need of post-Melissa agricultural recovery — and existing relationships with the Chamber of Commerce, service clubs, churches and schools through which farmers will be mobilised.</w:t>
      </w:r>
    </w:p>
    <w:p>
      <w:pPr>
        <w:pStyle w:val="ListParagraph"/>
        <w:numPr>
          <w:ilvl w:val="0"/>
          <w:numId w:val="2"/>
        </w:numPr>
        <w:spacing w:after="80" w:line="264"/>
      </w:pPr>
      <w:r>
        <w:rPr>
          <w:sz w:val="22"/>
          <w:szCs w:val="22"/>
        </w:rPr>
        <w:t xml:space="preserve">In-house digital capacity from CRM Jamaica Group: farm registration and mapping, tree-inventory and survival tracking, mobile data collection, farmer payment records and donor reporting dashboards — provided in kind, so programme funds go to trees, farmers and training rather than software.</w:t>
      </w:r>
    </w:p>
    <w:p>
      <w:pPr>
        <w:pStyle w:val="ListParagraph"/>
        <w:numPr>
          <w:ilvl w:val="0"/>
          <w:numId w:val="2"/>
        </w:numPr>
        <w:spacing w:after="80" w:line="264"/>
      </w:pPr>
      <w:r>
        <w:rPr>
          <w:sz w:val="22"/>
          <w:szCs w:val="22"/>
        </w:rPr>
        <w:t xml:space="preserve">A commercial market-development track record through the Group's e-commerce, POS and CRM platforms, which will be used to connect the aggregation centre to hotels, supermarkets, schools and export buyers.</w:t>
      </w:r>
    </w:p>
    <w:p>
      <w:pPr>
        <w:pStyle w:val="ListParagraph"/>
        <w:numPr>
          <w:ilvl w:val="0"/>
          <w:numId w:val="2"/>
        </w:numPr>
        <w:spacing w:after="80" w:line="264"/>
      </w:pPr>
      <w:r>
        <w:rPr>
          <w:sz w:val="22"/>
          <w:szCs w:val="22"/>
        </w:rPr>
        <w:t xml:space="preserve">Charitable status, financial controls and an adopted Administrative &amp; Operations Policy &amp; Procedures Manual, giving funders a governed, auditable recipient.</w:t>
      </w:r>
    </w:p>
    <w:p>
      <w:pPr>
        <w:pStyle w:val="Heading2"/>
        <w:spacing w:after="120" w:before="240"/>
      </w:pPr>
      <w:r>
        <w:rPr>
          <w:b/>
          <w:bCs/>
          <w:color w:val="1F5C3A"/>
          <w:sz w:val="25"/>
          <w:szCs w:val="25"/>
        </w:rPr>
        <w:t xml:space="preserve">3.3 Land already secured: 74 acres at Shrewsbury</w:t>
      </w:r>
    </w:p>
    <w:p>
      <w:pPr>
        <w:spacing w:after="120" w:line="276"/>
        <w:jc w:val="left"/>
      </w:pPr>
      <w:r>
        <w:rPr>
          <w:sz w:val="22"/>
          <w:szCs w:val="22"/>
        </w:rPr>
        <w:t xml:space="preserve">The programme does not start from a blank map. CRM Jamaica Group, through its holding company Marranos Jamaica Limited, holds ten-year leases from SCJ Holdings Limited (the Sugar Company of Jamaica Holdings Limited, the Government of Jamaica's land-management company for former sugar estates) over two parcels of former sugar land at Shrewsbury, in the Roaring River / Petersfield area of Westmoreland: approximately 39 acres leased in January 2022 and a further parcel of approximately 35 acres. Fifteen acres have already been brought into open-field production.</w:t>
      </w:r>
    </w:p>
    <w:p>
      <w:pPr>
        <w:spacing w:after="120" w:line="276"/>
        <w:jc w:val="left"/>
      </w:pPr>
      <w:r>
        <w:rPr>
          <w:sz w:val="22"/>
          <w:szCs w:val="22"/>
        </w:rPr>
        <w:t xml:space="preserve">The Group is transferring its interest in both parcels to CRM JA Charity as the charity's founding in-kind contribution to the programme. The Shrewsbury site will host the central nursery (30,000 seedlings a year), the demonstration and training farm, the first commercial breadfruit plantings and, subject to design, the Aggregation &amp; Processing Centre. Because the land is government-owned and already designated for agricultural repurposing, its use for a public-benefit food-security programme aligns with the Ministry of Agriculture's stated policy of returning former sugar lands to productive use.</w:t>
      </w:r>
    </w:p>
    <w:p>
      <w:pPr>
        <w:spacing w:after="120" w:line="276"/>
        <w:jc w:val="left"/>
      </w:pPr>
      <w:r>
        <w:rPr>
          <w:i/>
          <w:iCs/>
          <w:color w:val="555555"/>
          <w:sz w:val="20"/>
          <w:szCs w:val="20"/>
        </w:rPr>
        <w:t xml:space="preserve">The transfer takes the form of an assignment of the leasehold (or a sub-lease/licence to the charity) with the consent of SCJ Holdings Limited, and the charity will seek an extension of the lease term to match the productive life of the trees. Details are set out in the land annex to be published once the transfer is complete.</w:t>
      </w:r>
    </w:p>
    <w:p>
      <w:r>
        <w:br w:type="page"/>
      </w:r>
    </w:p>
    <w:p>
      <w:pPr>
        <w:pStyle w:val="Heading1"/>
        <w:spacing w:after="160" w:before="360"/>
      </w:pPr>
      <w:r>
        <w:rPr>
          <w:b/>
          <w:bCs/>
          <w:color w:val="1F5C3A"/>
          <w:sz w:val="30"/>
          <w:szCs w:val="30"/>
        </w:rPr>
        <w:t xml:space="preserve">4. Programme Design</w:t>
      </w:r>
    </w:p>
    <w:p>
      <w:pPr>
        <w:pStyle w:val="Heading2"/>
        <w:spacing w:after="120" w:before="240"/>
      </w:pPr>
      <w:r>
        <w:rPr>
          <w:b/>
          <w:bCs/>
          <w:color w:val="1F5C3A"/>
          <w:sz w:val="25"/>
          <w:szCs w:val="25"/>
        </w:rPr>
        <w:t xml:space="preserve">4.1 Goal and objectives</w:t>
      </w:r>
    </w:p>
    <w:p>
      <w:pPr>
        <w:spacing w:after="120" w:line="276"/>
        <w:jc w:val="left"/>
      </w:pPr>
      <w:r>
        <w:rPr>
          <w:b/>
          <w:bCs/>
          <w:sz w:val="22"/>
          <w:szCs w:val="22"/>
        </w:rPr>
        <w:t xml:space="preserve">Goal: </w:t>
      </w:r>
      <w:r>
        <w:rPr>
          <w:sz w:val="22"/>
          <w:szCs w:val="22"/>
        </w:rPr>
        <w:t xml:space="preserve">Rebuild the agricultural productive capacity of low-income farming households in Western Jamaica using climate-resilient perennial food crops, so that they are more food-secure, better off and better protected against the next storm.</w:t>
      </w:r>
    </w:p>
    <w:p>
      <w:pPr>
        <w:pStyle w:val="ListParagraph"/>
        <w:numPr>
          <w:ilvl w:val="0"/>
          <w:numId w:val="3"/>
        </w:numPr>
        <w:spacing w:after="80" w:line="264"/>
      </w:pPr>
      <w:r>
        <w:rPr>
          <w:sz w:val="22"/>
          <w:szCs w:val="22"/>
        </w:rPr>
        <w:t xml:space="preserve">Establish 50,000 climate-resilient food trees on 1,000 smallholder farms by end of Year 3 (Phase I).</w:t>
      </w:r>
    </w:p>
    <w:p>
      <w:pPr>
        <w:pStyle w:val="ListParagraph"/>
        <w:numPr>
          <w:ilvl w:val="0"/>
          <w:numId w:val="3"/>
        </w:numPr>
        <w:spacing w:after="80" w:line="264"/>
      </w:pPr>
      <w:r>
        <w:rPr>
          <w:sz w:val="22"/>
          <w:szCs w:val="22"/>
        </w:rPr>
        <w:t xml:space="preserve">Increase participating household incomes by at least 30% by Year 5 through tree-crop sales and reduced food purchases.</w:t>
      </w:r>
    </w:p>
    <w:p>
      <w:pPr>
        <w:pStyle w:val="ListParagraph"/>
        <w:numPr>
          <w:ilvl w:val="0"/>
          <w:numId w:val="3"/>
        </w:numPr>
        <w:spacing w:after="80" w:line="264"/>
      </w:pPr>
      <w:r>
        <w:rPr>
          <w:sz w:val="22"/>
          <w:szCs w:val="22"/>
        </w:rPr>
        <w:t xml:space="preserve">Create a functioning breadfruit value chain — nursery, farms, aggregation, processing and buyers — that operates without grant support by Year 5.</w:t>
      </w:r>
    </w:p>
    <w:p>
      <w:pPr>
        <w:pStyle w:val="ListParagraph"/>
        <w:numPr>
          <w:ilvl w:val="0"/>
          <w:numId w:val="3"/>
        </w:numPr>
        <w:spacing w:after="80" w:line="264"/>
      </w:pPr>
      <w:r>
        <w:rPr>
          <w:sz w:val="22"/>
          <w:szCs w:val="22"/>
        </w:rPr>
        <w:t xml:space="preserve">Reduce erosion and improve soil health on 400 hectares of sloping farmland; quantify carbon sequestration for climate-finance eligibility.</w:t>
      </w:r>
    </w:p>
    <w:p>
      <w:pPr>
        <w:pStyle w:val="ListParagraph"/>
        <w:numPr>
          <w:ilvl w:val="0"/>
          <w:numId w:val="3"/>
        </w:numPr>
        <w:spacing w:after="80" w:line="264"/>
      </w:pPr>
      <w:r>
        <w:rPr>
          <w:sz w:val="22"/>
          <w:szCs w:val="22"/>
        </w:rPr>
        <w:t xml:space="preserve">Create at least 300 jobs and seasonal jobs, with at least 50% held by women and youth.</w:t>
      </w:r>
    </w:p>
    <w:p>
      <w:pPr>
        <w:pStyle w:val="Heading2"/>
        <w:spacing w:after="120" w:before="240"/>
      </w:pPr>
      <w:r>
        <w:rPr>
          <w:b/>
          <w:bCs/>
          <w:color w:val="1F5C3A"/>
          <w:sz w:val="25"/>
          <w:szCs w:val="25"/>
        </w:rPr>
        <w:t xml:space="preserve">4.2 Target beneficiaries</w:t>
      </w:r>
    </w:p>
    <w:p>
      <w:pPr>
        <w:pStyle w:val="ListParagraph"/>
        <w:numPr>
          <w:ilvl w:val="0"/>
          <w:numId w:val="2"/>
        </w:numPr>
        <w:spacing w:after="80" w:line="264"/>
      </w:pPr>
      <w:r>
        <w:rPr>
          <w:sz w:val="22"/>
          <w:szCs w:val="22"/>
        </w:rPr>
        <w:t xml:space="preserve">1,000 smallholder farming households (Phase I) in Westmoreland, Hanover, St James and St Elizabeth, prioritising farms damaged by Hurricane Melissa, female-headed households and farmers under 35.</w:t>
      </w:r>
    </w:p>
    <w:p>
      <w:pPr>
        <w:pStyle w:val="ListParagraph"/>
        <w:numPr>
          <w:ilvl w:val="0"/>
          <w:numId w:val="2"/>
        </w:numPr>
        <w:spacing w:after="80" w:line="264"/>
      </w:pPr>
      <w:r>
        <w:rPr>
          <w:sz w:val="22"/>
          <w:szCs w:val="22"/>
        </w:rPr>
        <w:t xml:space="preserve">Selection criteria: farm of 0.5–5 acres with secure tenure or written landholder consent; demonstrated loss of tree crops or dependence on annual cropping; willingness to join a producer group and follow the agroforestry plan.</w:t>
      </w:r>
    </w:p>
    <w:p>
      <w:pPr>
        <w:pStyle w:val="ListParagraph"/>
        <w:numPr>
          <w:ilvl w:val="0"/>
          <w:numId w:val="2"/>
        </w:numPr>
        <w:spacing w:after="80" w:line="264"/>
      </w:pPr>
      <w:r>
        <w:rPr>
          <w:sz w:val="22"/>
          <w:szCs w:val="22"/>
        </w:rPr>
        <w:t xml:space="preserve">Indirect beneficiaries: an estimated 4,500 household members, plus consumers reached through schools, hospitals and retail supply.</w:t>
      </w:r>
    </w:p>
    <w:p>
      <w:pPr>
        <w:pStyle w:val="Heading2"/>
        <w:spacing w:after="120" w:before="240"/>
      </w:pPr>
      <w:r>
        <w:rPr>
          <w:b/>
          <w:bCs/>
          <w:color w:val="1F5C3A"/>
          <w:sz w:val="25"/>
          <w:szCs w:val="25"/>
        </w:rPr>
        <w:t xml:space="preserve">4.3 Crop portfolio</w:t>
      </w:r>
    </w:p>
    <w:p>
      <w:pPr>
        <w:spacing w:after="120" w:line="276"/>
        <w:jc w:val="left"/>
      </w:pPr>
      <w:r>
        <w:rPr>
          <w:sz w:val="22"/>
          <w:szCs w:val="22"/>
        </w:rPr>
        <w:t xml:space="preserve">Breadfruit is the flagship, but donors rightly ask "why only breadfruit?" — so the programme establishes diversified systems. Each farm receives a planting plan drawn from three tiers: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shd w:fill="1F5C3A" w:color="auto" w:val="clear"/>
            <w:tcMar>
              <w:top w:type="dxa" w:w="60"/>
              <w:left w:type="dxa" w:w="100"/>
              <w:bottom w:type="dxa" w:w="60"/>
              <w:right w:type="dxa" w:w="100"/>
            </w:tcMar>
          </w:tcPr>
          <w:p>
            <w:pPr>
              <w:spacing w:after="0"/>
              <w:jc w:val="left"/>
            </w:pPr>
            <w:r>
              <w:rPr>
                <w:b/>
                <w:bCs/>
                <w:color w:val="FFFFFF"/>
                <w:sz w:val="20"/>
                <w:szCs w:val="20"/>
              </w:rPr>
              <w:t xml:space="preserve">Tier</w:t>
            </w:r>
          </w:p>
        </w:tc>
        <w:tc>
          <w:tcPr>
            <w:tcW w:type="dxa" w:w="6760"/>
            <w:shd w:fill="1F5C3A" w:color="auto" w:val="clear"/>
            <w:tcMar>
              <w:top w:type="dxa" w:w="60"/>
              <w:left w:type="dxa" w:w="100"/>
              <w:bottom w:type="dxa" w:w="60"/>
              <w:right w:type="dxa" w:w="100"/>
            </w:tcMar>
          </w:tcPr>
          <w:p>
            <w:pPr>
              <w:spacing w:after="0"/>
              <w:jc w:val="left"/>
            </w:pPr>
            <w:r>
              <w:rPr>
                <w:b/>
                <w:bCs/>
                <w:color w:val="FFFFFF"/>
                <w:sz w:val="20"/>
                <w:szCs w:val="20"/>
              </w:rPr>
              <w:t xml:space="preserve">Crops</w:t>
            </w:r>
          </w:p>
        </w:tc>
      </w:tr>
      <w:tr>
        <w:trPr>
          <w:tblHeader w:val="false"/>
        </w:trPr>
        <w:tc>
          <w:tcPr>
            <w:tcW w:type="dxa" w:w="2600"/>
            <w:tcMar>
              <w:top w:type="dxa" w:w="60"/>
              <w:left w:type="dxa" w:w="100"/>
              <w:bottom w:type="dxa" w:w="60"/>
              <w:right w:type="dxa" w:w="100"/>
            </w:tcMar>
          </w:tcPr>
          <w:p>
            <w:pPr>
              <w:spacing w:after="0"/>
              <w:jc w:val="left"/>
            </w:pPr>
            <w:r>
              <w:rPr>
                <w:sz w:val="20"/>
                <w:szCs w:val="20"/>
              </w:rPr>
              <w:t xml:space="preserve">Staple tree crops (flagship)</w:t>
            </w:r>
          </w:p>
        </w:tc>
        <w:tc>
          <w:tcPr>
            <w:tcW w:type="dxa" w:w="6760"/>
            <w:tcMar>
              <w:top w:type="dxa" w:w="60"/>
              <w:left w:type="dxa" w:w="100"/>
              <w:bottom w:type="dxa" w:w="60"/>
              <w:right w:type="dxa" w:w="100"/>
            </w:tcMar>
          </w:tcPr>
          <w:p>
            <w:pPr>
              <w:spacing w:after="0"/>
              <w:jc w:val="left"/>
            </w:pPr>
            <w:r>
              <w:rPr>
                <w:sz w:val="20"/>
                <w:szCs w:val="20"/>
              </w:rPr>
              <w:t xml:space="preserve">Breadfruit (Ma'afala, Ulu Fiti and local yellow-heart selections), breadnut, ackee, avocado, mango</w:t>
            </w:r>
          </w:p>
        </w:tc>
      </w:tr>
      <w:tr>
        <w:trPr>
          <w:tblHeader w:val="false"/>
        </w:trPr>
        <w:tc>
          <w:tcPr>
            <w:tcW w:type="dxa" w:w="2600"/>
            <w:tcMar>
              <w:top w:type="dxa" w:w="60"/>
              <w:left w:type="dxa" w:w="100"/>
              <w:bottom w:type="dxa" w:w="60"/>
              <w:right w:type="dxa" w:w="100"/>
            </w:tcMar>
          </w:tcPr>
          <w:p>
            <w:pPr>
              <w:spacing w:after="0"/>
              <w:jc w:val="left"/>
            </w:pPr>
            <w:r>
              <w:rPr>
                <w:sz w:val="20"/>
                <w:szCs w:val="20"/>
              </w:rPr>
              <w:t xml:space="preserve">Agroforestry &amp; shade layer</w:t>
            </w:r>
          </w:p>
        </w:tc>
        <w:tc>
          <w:tcPr>
            <w:tcW w:type="dxa" w:w="6760"/>
            <w:tcMar>
              <w:top w:type="dxa" w:w="60"/>
              <w:left w:type="dxa" w:w="100"/>
              <w:bottom w:type="dxa" w:w="60"/>
              <w:right w:type="dxa" w:w="100"/>
            </w:tcMar>
          </w:tcPr>
          <w:p>
            <w:pPr>
              <w:spacing w:after="0"/>
              <w:jc w:val="left"/>
            </w:pPr>
            <w:r>
              <w:rPr>
                <w:sz w:val="20"/>
                <w:szCs w:val="20"/>
              </w:rPr>
              <w:t xml:space="preserve">Cocoa, coconut, and appropriate timber/shade species on boundaries and slopes</w:t>
            </w:r>
          </w:p>
        </w:tc>
      </w:tr>
      <w:tr>
        <w:trPr>
          <w:tblHeader w:val="false"/>
        </w:trPr>
        <w:tc>
          <w:tcPr>
            <w:tcW w:type="dxa" w:w="2600"/>
            <w:tcMar>
              <w:top w:type="dxa" w:w="60"/>
              <w:left w:type="dxa" w:w="100"/>
              <w:bottom w:type="dxa" w:w="60"/>
              <w:right w:type="dxa" w:w="100"/>
            </w:tcMar>
          </w:tcPr>
          <w:p>
            <w:pPr>
              <w:spacing w:after="0"/>
              <w:jc w:val="left"/>
            </w:pPr>
            <w:r>
              <w:rPr>
                <w:sz w:val="20"/>
                <w:szCs w:val="20"/>
              </w:rPr>
              <w:t xml:space="preserve">Short-cycle food crops (Years 1–3 cash flow)</w:t>
            </w:r>
          </w:p>
        </w:tc>
        <w:tc>
          <w:tcPr>
            <w:tcW w:type="dxa" w:w="6760"/>
            <w:tcMar>
              <w:top w:type="dxa" w:w="60"/>
              <w:left w:type="dxa" w:w="100"/>
              <w:bottom w:type="dxa" w:w="60"/>
              <w:right w:type="dxa" w:w="100"/>
            </w:tcMar>
          </w:tcPr>
          <w:p>
            <w:pPr>
              <w:spacing w:after="0"/>
              <w:jc w:val="left"/>
            </w:pPr>
            <w:r>
              <w:rPr>
                <w:sz w:val="20"/>
                <w:szCs w:val="20"/>
              </w:rPr>
              <w:t xml:space="preserve">Cassava, sweet potato, yam, plantain and vegetables intercropped until the canopy closes</w:t>
            </w:r>
          </w:p>
        </w:tc>
      </w:tr>
    </w:tbl>
    <w:p>
      <w:pPr>
        <w:spacing w:after="120" w:line="276"/>
        <w:jc w:val="left"/>
      </w:pPr>
      <w:r>
        <w:rPr>
          <w:sz w:val="22"/>
          <w:szCs w:val="22"/>
        </w:rPr>
        <w:t xml:space="preserve"/>
      </w:r>
    </w:p>
    <w:p>
      <w:pPr>
        <w:spacing w:after="120" w:line="276"/>
        <w:jc w:val="left"/>
      </w:pPr>
      <w:r>
        <w:rPr>
          <w:sz w:val="22"/>
          <w:szCs w:val="22"/>
        </w:rPr>
        <w:t xml:space="preserve">A standard Phase I allocation is 50 trees per farm (typically 30 breadfruit, 10 other fruit/staple trees, 10 agroforestry trees), adjusted to farm size, slope and existing cover.</w:t>
      </w:r>
    </w:p>
    <w:p>
      <w:pPr>
        <w:pStyle w:val="Heading2"/>
        <w:spacing w:after="120" w:before="240"/>
      </w:pPr>
      <w:r>
        <w:rPr>
          <w:b/>
          <w:bCs/>
          <w:color w:val="1F5C3A"/>
          <w:sz w:val="25"/>
          <w:szCs w:val="25"/>
        </w:rPr>
        <w:t xml:space="preserve">4.4 Components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shd w:fill="1F5C3A" w:color="auto" w:val="clear"/>
            <w:tcMar>
              <w:top w:type="dxa" w:w="60"/>
              <w:left w:type="dxa" w:w="100"/>
              <w:bottom w:type="dxa" w:w="60"/>
              <w:right w:type="dxa" w:w="100"/>
            </w:tcMar>
          </w:tcPr>
          <w:p>
            <w:pPr>
              <w:spacing w:after="0"/>
              <w:jc w:val="left"/>
            </w:pPr>
            <w:r>
              <w:rPr>
                <w:b/>
                <w:bCs/>
                <w:color w:val="FFFFFF"/>
                <w:sz w:val="20"/>
                <w:szCs w:val="20"/>
              </w:rPr>
              <w:t xml:space="preserve">Component</w:t>
            </w:r>
          </w:p>
        </w:tc>
        <w:tc>
          <w:tcPr>
            <w:tcW w:type="dxa" w:w="6560"/>
            <w:shd w:fill="1F5C3A" w:color="auto" w:val="clear"/>
            <w:tcMar>
              <w:top w:type="dxa" w:w="60"/>
              <w:left w:type="dxa" w:w="100"/>
              <w:bottom w:type="dxa" w:w="60"/>
              <w:right w:type="dxa" w:w="100"/>
            </w:tcMar>
          </w:tcPr>
          <w:p>
            <w:pPr>
              <w:spacing w:after="0"/>
              <w:jc w:val="left"/>
            </w:pPr>
            <w:r>
              <w:rPr>
                <w:b/>
                <w:bCs/>
                <w:color w:val="FFFFFF"/>
                <w:sz w:val="20"/>
                <w:szCs w:val="20"/>
              </w:rPr>
              <w:t xml:space="preserve">Activities</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1. Nursery &amp; planting material</w:t>
            </w:r>
          </w:p>
        </w:tc>
        <w:tc>
          <w:tcPr>
            <w:tcW w:type="dxa" w:w="6560"/>
            <w:tcMar>
              <w:top w:type="dxa" w:w="60"/>
              <w:left w:type="dxa" w:w="100"/>
              <w:bottom w:type="dxa" w:w="60"/>
              <w:right w:type="dxa" w:w="100"/>
            </w:tcMar>
          </w:tcPr>
          <w:p>
            <w:pPr>
              <w:spacing w:after="0"/>
              <w:jc w:val="left"/>
            </w:pPr>
            <w:r>
              <w:rPr>
                <w:sz w:val="20"/>
                <w:szCs w:val="20"/>
              </w:rPr>
              <w:t xml:space="preserve">Establish a central nursery in Savanna-la-Mar (capacity 30,000 seedlings/year) plus two satellite nurseries; propagate breadfruit by root cutting and tissue-culture stock; certify planting material with RADA/Bodles.</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2. Farmer planting programme</w:t>
            </w:r>
          </w:p>
        </w:tc>
        <w:tc>
          <w:tcPr>
            <w:tcW w:type="dxa" w:w="6560"/>
            <w:tcMar>
              <w:top w:type="dxa" w:w="60"/>
              <w:left w:type="dxa" w:w="100"/>
              <w:bottom w:type="dxa" w:w="60"/>
              <w:right w:type="dxa" w:w="100"/>
            </w:tcMar>
          </w:tcPr>
          <w:p>
            <w:pPr>
              <w:spacing w:after="0"/>
              <w:jc w:val="left"/>
            </w:pPr>
            <w:r>
              <w:rPr>
                <w:sz w:val="20"/>
                <w:szCs w:val="20"/>
              </w:rPr>
              <w:t xml:space="preserve">Farm registration and GPS mapping; land preparation; seedling delivery; organic inputs and mulch; planting under hurricane-resistant spacing and wind-break guidance; water-harvesting where required.</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3. Training &amp; extension</w:t>
            </w:r>
          </w:p>
        </w:tc>
        <w:tc>
          <w:tcPr>
            <w:tcW w:type="dxa" w:w="6560"/>
            <w:tcMar>
              <w:top w:type="dxa" w:w="60"/>
              <w:left w:type="dxa" w:w="100"/>
              <w:bottom w:type="dxa" w:w="60"/>
              <w:right w:type="dxa" w:w="100"/>
            </w:tcMar>
          </w:tcPr>
          <w:p>
            <w:pPr>
              <w:spacing w:after="0"/>
              <w:jc w:val="left"/>
            </w:pPr>
            <w:r>
              <w:rPr>
                <w:sz w:val="20"/>
                <w:szCs w:val="20"/>
              </w:rPr>
              <w:t xml:space="preserve">Four-module curriculum (establishment, agroforestry management, post-harvest handling, farm business); 10 field days per year; a lead-farmer network of 100 trained demonstrators; a digital training simulator for self-paced learning.</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4. Farmer organisation</w:t>
            </w:r>
          </w:p>
        </w:tc>
        <w:tc>
          <w:tcPr>
            <w:tcW w:type="dxa" w:w="6560"/>
            <w:tcMar>
              <w:top w:type="dxa" w:w="60"/>
              <w:left w:type="dxa" w:w="100"/>
              <w:bottom w:type="dxa" w:w="60"/>
              <w:right w:type="dxa" w:w="100"/>
            </w:tcMar>
          </w:tcPr>
          <w:p>
            <w:pPr>
              <w:spacing w:after="0"/>
              <w:jc w:val="left"/>
            </w:pPr>
            <w:r>
              <w:rPr>
                <w:sz w:val="20"/>
                <w:szCs w:val="20"/>
              </w:rPr>
              <w:t xml:space="preserve">Form 20 producer groups (≈50 farmers each) federated into a Western Jamaica Tree Crop Producers' Association, registered as a co-operative or benevolent society; groups hold input stores and negotiate collectively.</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5. Aggregation &amp; processing</w:t>
            </w:r>
          </w:p>
        </w:tc>
        <w:tc>
          <w:tcPr>
            <w:tcW w:type="dxa" w:w="6560"/>
            <w:tcMar>
              <w:top w:type="dxa" w:w="60"/>
              <w:left w:type="dxa" w:w="100"/>
              <w:bottom w:type="dxa" w:w="60"/>
              <w:right w:type="dxa" w:w="100"/>
            </w:tcMar>
          </w:tcPr>
          <w:p>
            <w:pPr>
              <w:spacing w:after="0"/>
              <w:jc w:val="left"/>
            </w:pPr>
            <w:r>
              <w:rPr>
                <w:sz w:val="20"/>
                <w:szCs w:val="20"/>
              </w:rPr>
              <w:t xml:space="preserve">Breadfruit Aggregation &amp; Processing Centre, Savanna-la-Mar: buying station, cold storage, washing/peeling line, flour milling, chip frying, blast freezing and packing. Guaranteed floor-price purchase agreements with producer groups.</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5b. Freeze-drying &amp; shelf-stable packaging</w:t>
            </w:r>
          </w:p>
        </w:tc>
        <w:tc>
          <w:tcPr>
            <w:tcW w:type="dxa" w:w="6560"/>
            <w:tcMar>
              <w:top w:type="dxa" w:w="60"/>
              <w:left w:type="dxa" w:w="100"/>
              <w:bottom w:type="dxa" w:w="60"/>
              <w:right w:type="dxa" w:w="100"/>
            </w:tcMar>
          </w:tcPr>
          <w:p>
            <w:pPr>
              <w:spacing w:after="0"/>
              <w:jc w:val="left"/>
            </w:pPr>
            <w:r>
              <w:rPr>
                <w:sz w:val="20"/>
                <w:szCs w:val="20"/>
              </w:rPr>
              <w:t xml:space="preserve">Commercial freeze-drying line converting mature-green and ripe breadfruit into shelf-stable slices, cubes and powder: 95%+ moisture removed at low temperature, nutrients and flavour retained, product rehydrates in minutes. Nitrogen-flushed, oxygen-absorber packaging for 12–25-year shelf life in sealed containers. Products: instant breadfruit porridge and flour, ready-to-rehydrate cubes for institutional kitchens and disaster-relief rations, retail snack slices, and lightweight export product.</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6. Market development</w:t>
            </w:r>
          </w:p>
        </w:tc>
        <w:tc>
          <w:tcPr>
            <w:tcW w:type="dxa" w:w="6560"/>
            <w:tcMar>
              <w:top w:type="dxa" w:w="60"/>
              <w:left w:type="dxa" w:w="100"/>
              <w:bottom w:type="dxa" w:w="60"/>
              <w:right w:type="dxa" w:w="100"/>
            </w:tcMar>
          </w:tcPr>
          <w:p>
            <w:pPr>
              <w:spacing w:after="0"/>
              <w:jc w:val="left"/>
            </w:pPr>
            <w:r>
              <w:rPr>
                <w:sz w:val="20"/>
                <w:szCs w:val="20"/>
              </w:rPr>
              <w:t xml:space="preserve">Supply contracts with hotels and supermarkets, school-feeding and hospital kitchens; retail brand for flour and chips; export testing to the Jamaican diaspora markets; CRM Jamaica Group e-commerce and POS platforms for sales and traceability.</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7. Women &amp; youth employment</w:t>
            </w:r>
          </w:p>
        </w:tc>
        <w:tc>
          <w:tcPr>
            <w:tcW w:type="dxa" w:w="6560"/>
            <w:tcMar>
              <w:top w:type="dxa" w:w="60"/>
              <w:left w:type="dxa" w:w="100"/>
              <w:bottom w:type="dxa" w:w="60"/>
              <w:right w:type="dxa" w:w="100"/>
            </w:tcMar>
          </w:tcPr>
          <w:p>
            <w:pPr>
              <w:spacing w:after="0"/>
              <w:jc w:val="left"/>
            </w:pPr>
            <w:r>
              <w:rPr>
                <w:sz w:val="20"/>
                <w:szCs w:val="20"/>
              </w:rPr>
              <w:t xml:space="preserve">Nursery and planting crews recruited from Youth Empowerment and women's groups; processing-centre roles; agri-entrepreneur micro-grants for 50 young farmers.</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8. Climate &amp; environment monitoring</w:t>
            </w:r>
          </w:p>
        </w:tc>
        <w:tc>
          <w:tcPr>
            <w:tcW w:type="dxa" w:w="6560"/>
            <w:tcMar>
              <w:top w:type="dxa" w:w="60"/>
              <w:left w:type="dxa" w:w="100"/>
              <w:bottom w:type="dxa" w:w="60"/>
              <w:right w:type="dxa" w:w="100"/>
            </w:tcMar>
          </w:tcPr>
          <w:p>
            <w:pPr>
              <w:spacing w:after="0"/>
              <w:jc w:val="left"/>
            </w:pPr>
            <w:r>
              <w:rPr>
                <w:sz w:val="20"/>
                <w:szCs w:val="20"/>
              </w:rPr>
              <w:t xml:space="preserve">Tree survival and growth surveys; soil-erosion transects; hectares restored; carbon stock estimation using accepted allometric methods; baseline and end-line farmer-income surveys.</w:t>
            </w:r>
          </w:p>
        </w:tc>
      </w:tr>
    </w:tbl>
    <w:p>
      <w:pPr>
        <w:spacing w:after="120" w:line="276"/>
        <w:jc w:val="left"/>
      </w:pPr>
      <w:r>
        <w:rPr>
          <w:sz w:val="22"/>
          <w:szCs w:val="22"/>
        </w:rPr>
        <w:t xml:space="preserve"/>
      </w:r>
    </w:p>
    <w:p>
      <w:pPr>
        <w:pStyle w:val="Heading2"/>
        <w:spacing w:after="120" w:before="240"/>
      </w:pPr>
      <w:r>
        <w:rPr>
          <w:b/>
          <w:bCs/>
          <w:color w:val="1F5C3A"/>
          <w:sz w:val="25"/>
          <w:szCs w:val="25"/>
        </w:rPr>
        <w:t xml:space="preserve">4.4a Why freeze-drying</w:t>
      </w:r>
    </w:p>
    <w:p>
      <w:pPr>
        <w:spacing w:after="120" w:line="276"/>
        <w:jc w:val="left"/>
      </w:pPr>
      <w:r>
        <w:rPr>
          <w:sz w:val="22"/>
          <w:szCs w:val="22"/>
        </w:rPr>
        <w:t xml:space="preserve">Mature breadfruit keeps for two or three days at room temperature — the single biggest reason so much of Jamaica's crop is wasted and why farmers cannot hold out for a fair price. Conventional drying to flour extends this to six to twelve months but is slow in Westmoreland's humidity and loses texture and some nutrients. Freeze-drying (lyophilisation) removes water by sublimation under vacuum at low temperature. The result keeps its shape, colour, flavour and most of its vitamin content, weighs about a fifth of the fresh fruit, needs no cold chain, and — sealed with an oxygen absorber — stores for well over a decade.</w:t>
      </w:r>
    </w:p>
    <w:p>
      <w:pPr>
        <w:spacing w:after="120" w:line="276"/>
        <w:jc w:val="left"/>
      </w:pPr>
      <w:r>
        <w:rPr>
          <w:sz w:val="22"/>
          <w:szCs w:val="22"/>
        </w:rPr>
        <w:t xml:space="preserve">For this programme that solves three problems at once. The processing centre can buy the whole harvest at peak season without spoilage losses, so the floor price to farmers holds. The charity gains a lightweight, long-life staple for its own disaster-relief work — a freeze-dried breadfruit ration rehydrates with hot water into a meal — and for school and hospital kitchens. And a premium, export-grade product (freeze-dried slices, cubes and instant flour) opens diaspora and health-food markets that fresh or conventionally dried fruit cannot reach.</w:t>
      </w:r>
    </w:p>
    <w:p>
      <w:pPr>
        <w:spacing w:after="120" w:line="276"/>
        <w:jc w:val="left"/>
      </w:pPr>
      <w:r>
        <w:rPr>
          <w:sz w:val="22"/>
          <w:szCs w:val="22"/>
        </w:rPr>
        <w:t xml:space="preserve">Phase I installs one commercial freeze-dryer (approximately 100–150 kg fresh input per 24-hour cycle) with a vacuum and nitrogen-flush packaging station, alongside the conventional flour and chip lines; Phase II scales to a multi-unit line as volumes grow. Energy is the main operating cost, so the centre is designed for solar with battery support.</w:t>
      </w:r>
    </w:p>
    <w:p>
      <w:pPr>
        <w:pStyle w:val="Heading2"/>
        <w:spacing w:after="120" w:before="240"/>
      </w:pPr>
      <w:r>
        <w:rPr>
          <w:b/>
          <w:bCs/>
          <w:color w:val="1F5C3A"/>
          <w:sz w:val="25"/>
          <w:szCs w:val="25"/>
        </w:rPr>
        <w:t xml:space="preserve">4.5 Phasing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400"/>
        <w:gridCol w:w="2400"/>
        <w:gridCol w:w="2560"/>
      </w:tblGrid>
      <w:tr>
        <w:trPr>
          <w:tblHeader/>
        </w:trPr>
        <w:tc>
          <w:tcPr>
            <w:tcW w:type="dxa" w:w="2000"/>
            <w:shd w:fill="1F5C3A" w:color="auto" w:val="clear"/>
            <w:tcMar>
              <w:top w:type="dxa" w:w="60"/>
              <w:left w:type="dxa" w:w="100"/>
              <w:bottom w:type="dxa" w:w="60"/>
              <w:right w:type="dxa" w:w="100"/>
            </w:tcMar>
          </w:tcPr>
          <w:p>
            <w:pPr>
              <w:spacing w:after="0"/>
              <w:jc w:val="left"/>
            </w:pPr>
            <w:r>
              <w:rPr>
                <w:b/>
                <w:bCs/>
                <w:color w:val="FFFFFF"/>
                <w:sz w:val="20"/>
                <w:szCs w:val="20"/>
              </w:rPr>
              <w:t xml:space="preserve">Phase</w:t>
            </w:r>
          </w:p>
        </w:tc>
        <w:tc>
          <w:tcPr>
            <w:tcW w:type="dxa" w:w="2400"/>
            <w:shd w:fill="1F5C3A" w:color="auto" w:val="clear"/>
            <w:tcMar>
              <w:top w:type="dxa" w:w="60"/>
              <w:left w:type="dxa" w:w="100"/>
              <w:bottom w:type="dxa" w:w="60"/>
              <w:right w:type="dxa" w:w="100"/>
            </w:tcMar>
          </w:tcPr>
          <w:p>
            <w:pPr>
              <w:spacing w:after="0"/>
              <w:jc w:val="left"/>
            </w:pPr>
            <w:r>
              <w:rPr>
                <w:b/>
                <w:bCs/>
                <w:color w:val="FFFFFF"/>
                <w:sz w:val="20"/>
                <w:szCs w:val="20"/>
              </w:rPr>
              <w:t xml:space="preserve">Scale</w:t>
            </w:r>
          </w:p>
        </w:tc>
        <w:tc>
          <w:tcPr>
            <w:tcW w:type="dxa" w:w="2400"/>
            <w:shd w:fill="1F5C3A" w:color="auto" w:val="clear"/>
            <w:tcMar>
              <w:top w:type="dxa" w:w="60"/>
              <w:left w:type="dxa" w:w="100"/>
              <w:bottom w:type="dxa" w:w="60"/>
              <w:right w:type="dxa" w:w="100"/>
            </w:tcMar>
          </w:tcPr>
          <w:p>
            <w:pPr>
              <w:spacing w:after="0"/>
              <w:jc w:val="left"/>
            </w:pPr>
            <w:r>
              <w:rPr>
                <w:b/>
                <w:bCs/>
                <w:color w:val="FFFFFF"/>
                <w:sz w:val="20"/>
                <w:szCs w:val="20"/>
              </w:rPr>
              <w:t xml:space="preserve">Duration</w:t>
            </w:r>
          </w:p>
        </w:tc>
        <w:tc>
          <w:tcPr>
            <w:tcW w:type="dxa" w:w="2560"/>
            <w:shd w:fill="1F5C3A" w:color="auto" w:val="clear"/>
            <w:tcMar>
              <w:top w:type="dxa" w:w="60"/>
              <w:left w:type="dxa" w:w="100"/>
              <w:bottom w:type="dxa" w:w="60"/>
              <w:right w:type="dxa" w:w="100"/>
            </w:tcMar>
          </w:tcPr>
          <w:p>
            <w:pPr>
              <w:spacing w:after="0"/>
              <w:jc w:val="left"/>
            </w:pPr>
            <w:r>
              <w:rPr>
                <w:b/>
                <w:bCs/>
                <w:color w:val="FFFFFF"/>
                <w:sz w:val="20"/>
                <w:szCs w:val="20"/>
              </w:rPr>
              <w:t xml:space="preserve">Indicative cost</w:t>
            </w:r>
          </w:p>
        </w:tc>
      </w:tr>
      <w:tr>
        <w:trPr>
          <w:tblHeader w:val="false"/>
        </w:trPr>
        <w:tc>
          <w:tcPr>
            <w:tcW w:type="dxa" w:w="2000"/>
            <w:tcMar>
              <w:top w:type="dxa" w:w="60"/>
              <w:left w:type="dxa" w:w="100"/>
              <w:bottom w:type="dxa" w:w="60"/>
              <w:right w:type="dxa" w:w="100"/>
            </w:tcMar>
          </w:tcPr>
          <w:p>
            <w:pPr>
              <w:spacing w:after="0"/>
              <w:jc w:val="left"/>
            </w:pPr>
            <w:r>
              <w:rPr>
                <w:sz w:val="20"/>
                <w:szCs w:val="20"/>
              </w:rPr>
              <w:t xml:space="preserve">Phase I — Western Jamaica</w:t>
            </w:r>
          </w:p>
        </w:tc>
        <w:tc>
          <w:tcPr>
            <w:tcW w:type="dxa" w:w="2400"/>
            <w:tcMar>
              <w:top w:type="dxa" w:w="60"/>
              <w:left w:type="dxa" w:w="100"/>
              <w:bottom w:type="dxa" w:w="60"/>
              <w:right w:type="dxa" w:w="100"/>
            </w:tcMar>
          </w:tcPr>
          <w:p>
            <w:pPr>
              <w:spacing w:after="0"/>
              <w:jc w:val="right"/>
            </w:pPr>
            <w:r>
              <w:rPr>
                <w:sz w:val="20"/>
                <w:szCs w:val="20"/>
              </w:rPr>
              <w:t xml:space="preserve">1,000 farmers · 50,000 trees · 400 ha</w:t>
            </w:r>
          </w:p>
        </w:tc>
        <w:tc>
          <w:tcPr>
            <w:tcW w:type="dxa" w:w="2400"/>
            <w:tcMar>
              <w:top w:type="dxa" w:w="60"/>
              <w:left w:type="dxa" w:w="100"/>
              <w:bottom w:type="dxa" w:w="60"/>
              <w:right w:type="dxa" w:w="100"/>
            </w:tcMar>
          </w:tcPr>
          <w:p>
            <w:pPr>
              <w:spacing w:after="0"/>
              <w:jc w:val="right"/>
            </w:pPr>
            <w:r>
              <w:rPr>
                <w:sz w:val="20"/>
                <w:szCs w:val="20"/>
              </w:rPr>
              <w:t xml:space="preserve">36 months</w:t>
            </w:r>
          </w:p>
        </w:tc>
        <w:tc>
          <w:tcPr>
            <w:tcW w:type="dxa" w:w="2560"/>
            <w:tcMar>
              <w:top w:type="dxa" w:w="60"/>
              <w:left w:type="dxa" w:w="100"/>
              <w:bottom w:type="dxa" w:w="60"/>
              <w:right w:type="dxa" w:w="100"/>
            </w:tcMar>
          </w:tcPr>
          <w:p>
            <w:pPr>
              <w:spacing w:after="0"/>
              <w:jc w:val="right"/>
            </w:pPr>
            <w:r>
              <w:rPr>
                <w:sz w:val="20"/>
                <w:szCs w:val="20"/>
              </w:rPr>
              <w:t xml:space="preserve">US$3.1 million</w:t>
            </w:r>
          </w:p>
        </w:tc>
      </w:tr>
      <w:tr>
        <w:trPr>
          <w:tblHeader w:val="false"/>
        </w:trPr>
        <w:tc>
          <w:tcPr>
            <w:tcW w:type="dxa" w:w="2000"/>
            <w:tcMar>
              <w:top w:type="dxa" w:w="60"/>
              <w:left w:type="dxa" w:w="100"/>
              <w:bottom w:type="dxa" w:w="60"/>
              <w:right w:type="dxa" w:w="100"/>
            </w:tcMar>
          </w:tcPr>
          <w:p>
            <w:pPr>
              <w:spacing w:after="0"/>
              <w:jc w:val="left"/>
            </w:pPr>
            <w:r>
              <w:rPr>
                <w:sz w:val="20"/>
                <w:szCs w:val="20"/>
              </w:rPr>
              <w:t xml:space="preserve">Phase II — National</w:t>
            </w:r>
          </w:p>
        </w:tc>
        <w:tc>
          <w:tcPr>
            <w:tcW w:type="dxa" w:w="2400"/>
            <w:tcMar>
              <w:top w:type="dxa" w:w="60"/>
              <w:left w:type="dxa" w:w="100"/>
              <w:bottom w:type="dxa" w:w="60"/>
              <w:right w:type="dxa" w:w="100"/>
            </w:tcMar>
          </w:tcPr>
          <w:p>
            <w:pPr>
              <w:spacing w:after="0"/>
              <w:jc w:val="right"/>
            </w:pPr>
            <w:r>
              <w:rPr>
                <w:sz w:val="20"/>
                <w:szCs w:val="20"/>
              </w:rPr>
              <w:t xml:space="preserve">5,000 farmers · 250,000 trees · 2,000 ha</w:t>
            </w:r>
          </w:p>
        </w:tc>
        <w:tc>
          <w:tcPr>
            <w:tcW w:type="dxa" w:w="2400"/>
            <w:tcMar>
              <w:top w:type="dxa" w:w="60"/>
              <w:left w:type="dxa" w:w="100"/>
              <w:bottom w:type="dxa" w:w="60"/>
              <w:right w:type="dxa" w:w="100"/>
            </w:tcMar>
          </w:tcPr>
          <w:p>
            <w:pPr>
              <w:spacing w:after="0"/>
              <w:jc w:val="right"/>
            </w:pPr>
            <w:r>
              <w:rPr>
                <w:sz w:val="20"/>
                <w:szCs w:val="20"/>
              </w:rPr>
              <w:t xml:space="preserve">48 months</w:t>
            </w:r>
          </w:p>
        </w:tc>
        <w:tc>
          <w:tcPr>
            <w:tcW w:type="dxa" w:w="2560"/>
            <w:tcMar>
              <w:top w:type="dxa" w:w="60"/>
              <w:left w:type="dxa" w:w="100"/>
              <w:bottom w:type="dxa" w:w="60"/>
              <w:right w:type="dxa" w:w="100"/>
            </w:tcMar>
          </w:tcPr>
          <w:p>
            <w:pPr>
              <w:spacing w:after="0"/>
              <w:jc w:val="right"/>
            </w:pPr>
            <w:r>
              <w:rPr>
                <w:sz w:val="20"/>
                <w:szCs w:val="20"/>
              </w:rPr>
              <w:t xml:space="preserve">US$12–15 million</w:t>
            </w:r>
          </w:p>
        </w:tc>
      </w:tr>
      <w:tr>
        <w:trPr>
          <w:tblHeader w:val="false"/>
        </w:trPr>
        <w:tc>
          <w:tcPr>
            <w:tcW w:type="dxa" w:w="2000"/>
            <w:tcMar>
              <w:top w:type="dxa" w:w="60"/>
              <w:left w:type="dxa" w:w="100"/>
              <w:bottom w:type="dxa" w:w="60"/>
              <w:right w:type="dxa" w:w="100"/>
            </w:tcMar>
          </w:tcPr>
          <w:p>
            <w:pPr>
              <w:spacing w:after="0"/>
              <w:jc w:val="left"/>
            </w:pPr>
            <w:r>
              <w:rPr>
                <w:sz w:val="20"/>
                <w:szCs w:val="20"/>
              </w:rPr>
              <w:t xml:space="preserve">Phase III — Caribbean</w:t>
            </w:r>
          </w:p>
        </w:tc>
        <w:tc>
          <w:tcPr>
            <w:tcW w:type="dxa" w:w="2400"/>
            <w:tcMar>
              <w:top w:type="dxa" w:w="60"/>
              <w:left w:type="dxa" w:w="100"/>
              <w:bottom w:type="dxa" w:w="60"/>
              <w:right w:type="dxa" w:w="100"/>
            </w:tcMar>
          </w:tcPr>
          <w:p>
            <w:pPr>
              <w:spacing w:after="0"/>
              <w:jc w:val="left"/>
            </w:pPr>
            <w:r>
              <w:rPr>
                <w:sz w:val="20"/>
                <w:szCs w:val="20"/>
              </w:rPr>
              <w:t xml:space="preserve">Regional replication in 6–9 CARICOM states</w:t>
            </w:r>
          </w:p>
        </w:tc>
        <w:tc>
          <w:tcPr>
            <w:tcW w:type="dxa" w:w="2400"/>
            <w:tcMar>
              <w:top w:type="dxa" w:w="60"/>
              <w:left w:type="dxa" w:w="100"/>
              <w:bottom w:type="dxa" w:w="60"/>
              <w:right w:type="dxa" w:w="100"/>
            </w:tcMar>
          </w:tcPr>
          <w:p>
            <w:pPr>
              <w:spacing w:after="0"/>
              <w:jc w:val="right"/>
            </w:pPr>
            <w:r>
              <w:rPr>
                <w:sz w:val="20"/>
                <w:szCs w:val="20"/>
              </w:rPr>
              <w:t xml:space="preserve">60 months</w:t>
            </w:r>
          </w:p>
        </w:tc>
        <w:tc>
          <w:tcPr>
            <w:tcW w:type="dxa" w:w="2560"/>
            <w:tcMar>
              <w:top w:type="dxa" w:w="60"/>
              <w:left w:type="dxa" w:w="100"/>
              <w:bottom w:type="dxa" w:w="60"/>
              <w:right w:type="dxa" w:w="100"/>
            </w:tcMar>
          </w:tcPr>
          <w:p>
            <w:pPr>
              <w:spacing w:after="0"/>
              <w:jc w:val="left"/>
            </w:pPr>
            <w:r>
              <w:rPr>
                <w:sz w:val="20"/>
                <w:szCs w:val="20"/>
              </w:rPr>
              <w:t xml:space="preserve">To be scoped with CDB</w:t>
            </w:r>
          </w:p>
        </w:tc>
      </w:tr>
    </w:tbl>
    <w:p>
      <w:pPr>
        <w:spacing w:after="120" w:line="276"/>
        <w:jc w:val="left"/>
      </w:pPr>
      <w:r>
        <w:rPr>
          <w:sz w:val="22"/>
          <w:szCs w:val="22"/>
        </w:rPr>
        <w:t xml:space="preserve"/>
      </w:r>
    </w:p>
    <w:p>
      <w:pPr>
        <w:spacing w:after="120" w:line="276"/>
        <w:jc w:val="left"/>
      </w:pPr>
      <w:r>
        <w:rPr>
          <w:sz w:val="22"/>
          <w:szCs w:val="22"/>
        </w:rPr>
        <w:t xml:space="preserve">A GEF Small Grants-scale pilot (100 farmers, 10,000 trees, ~US$75,000) can be launched ahead of Phase I to generate demonstration data while the larger programme is under appraisal.</w:t>
      </w:r>
    </w:p>
    <w:p>
      <w:r>
        <w:br w:type="page"/>
      </w:r>
    </w:p>
    <w:p>
      <w:pPr>
        <w:pStyle w:val="Heading1"/>
        <w:spacing w:after="160" w:before="360"/>
      </w:pPr>
      <w:r>
        <w:rPr>
          <w:b/>
          <w:bCs/>
          <w:color w:val="1F5C3A"/>
          <w:sz w:val="30"/>
          <w:szCs w:val="30"/>
        </w:rPr>
        <w:t xml:space="preserve">5. Results Framework and Indicators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60"/>
        <w:gridCol w:w="1400"/>
        <w:gridCol w:w="1400"/>
        <w:gridCol w:w="1400"/>
        <w:gridCol w:w="1400"/>
      </w:tblGrid>
      <w:tr>
        <w:trPr>
          <w:tblHeader/>
        </w:trPr>
        <w:tc>
          <w:tcPr>
            <w:tcW w:type="dxa" w:w="3760"/>
            <w:shd w:fill="1F5C3A" w:color="auto" w:val="clear"/>
            <w:tcMar>
              <w:top w:type="dxa" w:w="60"/>
              <w:left w:type="dxa" w:w="100"/>
              <w:bottom w:type="dxa" w:w="60"/>
              <w:right w:type="dxa" w:w="100"/>
            </w:tcMar>
          </w:tcPr>
          <w:p>
            <w:pPr>
              <w:spacing w:after="0"/>
              <w:jc w:val="left"/>
            </w:pPr>
            <w:r>
              <w:rPr>
                <w:b/>
                <w:bCs/>
                <w:color w:val="FFFFFF"/>
                <w:sz w:val="20"/>
                <w:szCs w:val="20"/>
              </w:rPr>
              <w:t xml:space="preserve">Indicator</w:t>
            </w:r>
          </w:p>
        </w:tc>
        <w:tc>
          <w:tcPr>
            <w:tcW w:type="dxa" w:w="1400"/>
            <w:shd w:fill="1F5C3A" w:color="auto" w:val="clear"/>
            <w:tcMar>
              <w:top w:type="dxa" w:w="60"/>
              <w:left w:type="dxa" w:w="100"/>
              <w:bottom w:type="dxa" w:w="60"/>
              <w:right w:type="dxa" w:w="100"/>
            </w:tcMar>
          </w:tcPr>
          <w:p>
            <w:pPr>
              <w:spacing w:after="0"/>
              <w:jc w:val="left"/>
            </w:pPr>
            <w:r>
              <w:rPr>
                <w:b/>
                <w:bCs/>
                <w:color w:val="FFFFFF"/>
                <w:sz w:val="20"/>
                <w:szCs w:val="20"/>
              </w:rPr>
              <w:t xml:space="preserve">Baseline</w:t>
            </w:r>
          </w:p>
        </w:tc>
        <w:tc>
          <w:tcPr>
            <w:tcW w:type="dxa" w:w="1400"/>
            <w:shd w:fill="1F5C3A" w:color="auto" w:val="clear"/>
            <w:tcMar>
              <w:top w:type="dxa" w:w="60"/>
              <w:left w:type="dxa" w:w="100"/>
              <w:bottom w:type="dxa" w:w="60"/>
              <w:right w:type="dxa" w:w="100"/>
            </w:tcMar>
          </w:tcPr>
          <w:p>
            <w:pPr>
              <w:spacing w:after="0"/>
              <w:jc w:val="left"/>
            </w:pPr>
            <w:r>
              <w:rPr>
                <w:b/>
                <w:bCs/>
                <w:color w:val="FFFFFF"/>
                <w:sz w:val="20"/>
                <w:szCs w:val="20"/>
              </w:rPr>
              <w:t xml:space="preserve">Year 1</w:t>
            </w:r>
          </w:p>
        </w:tc>
        <w:tc>
          <w:tcPr>
            <w:tcW w:type="dxa" w:w="1400"/>
            <w:shd w:fill="1F5C3A" w:color="auto" w:val="clear"/>
            <w:tcMar>
              <w:top w:type="dxa" w:w="60"/>
              <w:left w:type="dxa" w:w="100"/>
              <w:bottom w:type="dxa" w:w="60"/>
              <w:right w:type="dxa" w:w="100"/>
            </w:tcMar>
          </w:tcPr>
          <w:p>
            <w:pPr>
              <w:spacing w:after="0"/>
              <w:jc w:val="left"/>
            </w:pPr>
            <w:r>
              <w:rPr>
                <w:b/>
                <w:bCs/>
                <w:color w:val="FFFFFF"/>
                <w:sz w:val="20"/>
                <w:szCs w:val="20"/>
              </w:rPr>
              <w:t xml:space="preserve">Year 3</w:t>
            </w:r>
          </w:p>
        </w:tc>
        <w:tc>
          <w:tcPr>
            <w:tcW w:type="dxa" w:w="1400"/>
            <w:shd w:fill="1F5C3A" w:color="auto" w:val="clear"/>
            <w:tcMar>
              <w:top w:type="dxa" w:w="60"/>
              <w:left w:type="dxa" w:w="100"/>
              <w:bottom w:type="dxa" w:w="60"/>
              <w:right w:type="dxa" w:w="100"/>
            </w:tcMar>
          </w:tcPr>
          <w:p>
            <w:pPr>
              <w:spacing w:after="0"/>
              <w:jc w:val="left"/>
            </w:pPr>
            <w:r>
              <w:rPr>
                <w:b/>
                <w:bCs/>
                <w:color w:val="FFFFFF"/>
                <w:sz w:val="20"/>
                <w:szCs w:val="20"/>
              </w:rPr>
              <w:t xml:space="preserve">Year 5</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Farmers enrolled (cumulative)</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right"/>
            </w:pPr>
            <w:r>
              <w:rPr>
                <w:sz w:val="20"/>
                <w:szCs w:val="20"/>
              </w:rPr>
              <w:t xml:space="preserve">600</w:t>
            </w:r>
          </w:p>
        </w:tc>
        <w:tc>
          <w:tcPr>
            <w:tcW w:type="dxa" w:w="1400"/>
            <w:tcMar>
              <w:top w:type="dxa" w:w="60"/>
              <w:left w:type="dxa" w:w="100"/>
              <w:bottom w:type="dxa" w:w="60"/>
              <w:right w:type="dxa" w:w="100"/>
            </w:tcMar>
          </w:tcPr>
          <w:p>
            <w:pPr>
              <w:spacing w:after="0"/>
              <w:jc w:val="right"/>
            </w:pPr>
            <w:r>
              <w:rPr>
                <w:sz w:val="20"/>
                <w:szCs w:val="20"/>
              </w:rPr>
              <w:t xml:space="preserve">1,000</w:t>
            </w:r>
          </w:p>
        </w:tc>
        <w:tc>
          <w:tcPr>
            <w:tcW w:type="dxa" w:w="1400"/>
            <w:tcMar>
              <w:top w:type="dxa" w:w="60"/>
              <w:left w:type="dxa" w:w="100"/>
              <w:bottom w:type="dxa" w:w="60"/>
              <w:right w:type="dxa" w:w="100"/>
            </w:tcMar>
          </w:tcPr>
          <w:p>
            <w:pPr>
              <w:spacing w:after="0"/>
              <w:jc w:val="right"/>
            </w:pPr>
            <w:r>
              <w:rPr>
                <w:sz w:val="20"/>
                <w:szCs w:val="20"/>
              </w:rPr>
              <w:t xml:space="preserve">5,000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Trees planted (cumulative)</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right"/>
            </w:pPr>
            <w:r>
              <w:rPr>
                <w:sz w:val="20"/>
                <w:szCs w:val="20"/>
              </w:rPr>
              <w:t xml:space="preserve">20,000</w:t>
            </w:r>
          </w:p>
        </w:tc>
        <w:tc>
          <w:tcPr>
            <w:tcW w:type="dxa" w:w="1400"/>
            <w:tcMar>
              <w:top w:type="dxa" w:w="60"/>
              <w:left w:type="dxa" w:w="100"/>
              <w:bottom w:type="dxa" w:w="60"/>
              <w:right w:type="dxa" w:w="100"/>
            </w:tcMar>
          </w:tcPr>
          <w:p>
            <w:pPr>
              <w:spacing w:after="0"/>
              <w:jc w:val="right"/>
            </w:pPr>
            <w:r>
              <w:rPr>
                <w:sz w:val="20"/>
                <w:szCs w:val="20"/>
              </w:rPr>
              <w:t xml:space="preserve">50,000</w:t>
            </w:r>
          </w:p>
        </w:tc>
        <w:tc>
          <w:tcPr>
            <w:tcW w:type="dxa" w:w="1400"/>
            <w:tcMar>
              <w:top w:type="dxa" w:w="60"/>
              <w:left w:type="dxa" w:w="100"/>
              <w:bottom w:type="dxa" w:w="60"/>
              <w:right w:type="dxa" w:w="100"/>
            </w:tcMar>
          </w:tcPr>
          <w:p>
            <w:pPr>
              <w:spacing w:after="0"/>
              <w:jc w:val="right"/>
            </w:pPr>
            <w:r>
              <w:rPr>
                <w:sz w:val="20"/>
                <w:szCs w:val="20"/>
              </w:rPr>
              <w:t xml:space="preserve">250,000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Tree survival rate at 12 months</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left"/>
            </w:pPr>
            <w:r>
              <w:rPr>
                <w:sz w:val="20"/>
                <w:szCs w:val="20"/>
              </w:rPr>
              <w:t xml:space="preserve">≥85%</w:t>
            </w:r>
          </w:p>
        </w:tc>
        <w:tc>
          <w:tcPr>
            <w:tcW w:type="dxa" w:w="1400"/>
            <w:tcMar>
              <w:top w:type="dxa" w:w="60"/>
              <w:left w:type="dxa" w:w="100"/>
              <w:bottom w:type="dxa" w:w="60"/>
              <w:right w:type="dxa" w:w="100"/>
            </w:tcMar>
          </w:tcPr>
          <w:p>
            <w:pPr>
              <w:spacing w:after="0"/>
              <w:jc w:val="left"/>
            </w:pPr>
            <w:r>
              <w:rPr>
                <w:sz w:val="20"/>
                <w:szCs w:val="20"/>
              </w:rPr>
              <w:t xml:space="preserve">≥85%</w:t>
            </w:r>
          </w:p>
        </w:tc>
        <w:tc>
          <w:tcPr>
            <w:tcW w:type="dxa" w:w="1400"/>
            <w:tcMar>
              <w:top w:type="dxa" w:w="60"/>
              <w:left w:type="dxa" w:w="100"/>
              <w:bottom w:type="dxa" w:w="60"/>
              <w:right w:type="dxa" w:w="100"/>
            </w:tcMar>
          </w:tcPr>
          <w:p>
            <w:pPr>
              <w:spacing w:after="0"/>
              <w:jc w:val="left"/>
            </w:pPr>
            <w:r>
              <w:rPr>
                <w:sz w:val="20"/>
                <w:szCs w:val="20"/>
              </w:rPr>
              <w:t xml:space="preserve">≥85%</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Hectares under agroforestry</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right"/>
            </w:pPr>
            <w:r>
              <w:rPr>
                <w:sz w:val="20"/>
                <w:szCs w:val="20"/>
              </w:rPr>
              <w:t xml:space="preserve">150</w:t>
            </w:r>
          </w:p>
        </w:tc>
        <w:tc>
          <w:tcPr>
            <w:tcW w:type="dxa" w:w="1400"/>
            <w:tcMar>
              <w:top w:type="dxa" w:w="60"/>
              <w:left w:type="dxa" w:w="100"/>
              <w:bottom w:type="dxa" w:w="60"/>
              <w:right w:type="dxa" w:w="100"/>
            </w:tcMar>
          </w:tcPr>
          <w:p>
            <w:pPr>
              <w:spacing w:after="0"/>
              <w:jc w:val="right"/>
            </w:pPr>
            <w:r>
              <w:rPr>
                <w:sz w:val="20"/>
                <w:szCs w:val="20"/>
              </w:rPr>
              <w:t xml:space="preserve">400</w:t>
            </w:r>
          </w:p>
        </w:tc>
        <w:tc>
          <w:tcPr>
            <w:tcW w:type="dxa" w:w="1400"/>
            <w:tcMar>
              <w:top w:type="dxa" w:w="60"/>
              <w:left w:type="dxa" w:w="100"/>
              <w:bottom w:type="dxa" w:w="60"/>
              <w:right w:type="dxa" w:w="100"/>
            </w:tcMar>
          </w:tcPr>
          <w:p>
            <w:pPr>
              <w:spacing w:after="0"/>
              <w:jc w:val="right"/>
            </w:pPr>
            <w:r>
              <w:rPr>
                <w:sz w:val="20"/>
                <w:szCs w:val="20"/>
              </w:rPr>
              <w:t xml:space="preserve">2,000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Breadfruit production (tonnes/yr)</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right"/>
            </w:pPr>
            <w:r>
              <w:rPr>
                <w:sz w:val="20"/>
                <w:szCs w:val="20"/>
              </w:rPr>
              <w:t xml:space="preserve">500</w:t>
            </w:r>
          </w:p>
        </w:tc>
        <w:tc>
          <w:tcPr>
            <w:tcW w:type="dxa" w:w="1400"/>
            <w:tcMar>
              <w:top w:type="dxa" w:w="60"/>
              <w:left w:type="dxa" w:w="100"/>
              <w:bottom w:type="dxa" w:w="60"/>
              <w:right w:type="dxa" w:w="100"/>
            </w:tcMar>
          </w:tcPr>
          <w:p>
            <w:pPr>
              <w:spacing w:after="0"/>
              <w:jc w:val="right"/>
            </w:pPr>
            <w:r>
              <w:rPr>
                <w:sz w:val="20"/>
                <w:szCs w:val="20"/>
              </w:rPr>
              <w:t xml:space="preserve">8,000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Households reporting improved food security</w:t>
            </w:r>
          </w:p>
        </w:tc>
        <w:tc>
          <w:tcPr>
            <w:tcW w:type="dxa" w:w="1400"/>
            <w:tcMar>
              <w:top w:type="dxa" w:w="60"/>
              <w:left w:type="dxa" w:w="100"/>
              <w:bottom w:type="dxa" w:w="60"/>
              <w:right w:type="dxa" w:w="100"/>
            </w:tcMar>
          </w:tcPr>
          <w:p>
            <w:pPr>
              <w:spacing w:after="0"/>
              <w:jc w:val="left"/>
            </w:pPr>
            <w:r>
              <w:rPr>
                <w:sz w:val="20"/>
                <w:szCs w:val="20"/>
              </w:rPr>
              <w:t xml:space="preserve">TBD</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right"/>
            </w:pPr>
            <w:r>
              <w:rPr>
                <w:sz w:val="20"/>
                <w:szCs w:val="20"/>
              </w:rPr>
              <w:t xml:space="preserve">60%</w:t>
            </w:r>
          </w:p>
        </w:tc>
        <w:tc>
          <w:tcPr>
            <w:tcW w:type="dxa" w:w="1400"/>
            <w:tcMar>
              <w:top w:type="dxa" w:w="60"/>
              <w:left w:type="dxa" w:w="100"/>
              <w:bottom w:type="dxa" w:w="60"/>
              <w:right w:type="dxa" w:w="100"/>
            </w:tcMar>
          </w:tcPr>
          <w:p>
            <w:pPr>
              <w:spacing w:after="0"/>
              <w:jc w:val="right"/>
            </w:pPr>
            <w:r>
              <w:rPr>
                <w:sz w:val="20"/>
                <w:szCs w:val="20"/>
              </w:rPr>
              <w:t xml:space="preserve">80%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Average household income increase</w:t>
            </w:r>
          </w:p>
        </w:tc>
        <w:tc>
          <w:tcPr>
            <w:tcW w:type="dxa" w:w="1400"/>
            <w:tcMar>
              <w:top w:type="dxa" w:w="60"/>
              <w:left w:type="dxa" w:w="100"/>
              <w:bottom w:type="dxa" w:w="60"/>
              <w:right w:type="dxa" w:w="100"/>
            </w:tcMar>
          </w:tcPr>
          <w:p>
            <w:pPr>
              <w:spacing w:after="0"/>
              <w:jc w:val="left"/>
            </w:pPr>
            <w:r>
              <w:rPr>
                <w:sz w:val="20"/>
                <w:szCs w:val="20"/>
              </w:rPr>
              <w:t xml:space="preserve">TBD</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left"/>
            </w:pPr>
            <w:r>
              <w:rPr>
                <w:sz w:val="20"/>
                <w:szCs w:val="20"/>
              </w:rPr>
              <w:t xml:space="preserve">+10%</w:t>
            </w:r>
          </w:p>
        </w:tc>
        <w:tc>
          <w:tcPr>
            <w:tcW w:type="dxa" w:w="1400"/>
            <w:tcMar>
              <w:top w:type="dxa" w:w="60"/>
              <w:left w:type="dxa" w:w="100"/>
              <w:bottom w:type="dxa" w:w="60"/>
              <w:right w:type="dxa" w:w="100"/>
            </w:tcMar>
          </w:tcPr>
          <w:p>
            <w:pPr>
              <w:spacing w:after="0"/>
              <w:jc w:val="left"/>
            </w:pPr>
            <w:r>
              <w:rPr>
                <w:sz w:val="20"/>
                <w:szCs w:val="20"/>
              </w:rPr>
              <w:t xml:space="preserve">+30%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Jobs and seasonal jobs created</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right"/>
            </w:pPr>
            <w:r>
              <w:rPr>
                <w:sz w:val="20"/>
                <w:szCs w:val="20"/>
              </w:rPr>
              <w:t xml:space="preserve">60</w:t>
            </w:r>
          </w:p>
        </w:tc>
        <w:tc>
          <w:tcPr>
            <w:tcW w:type="dxa" w:w="1400"/>
            <w:tcMar>
              <w:top w:type="dxa" w:w="60"/>
              <w:left w:type="dxa" w:w="100"/>
              <w:bottom w:type="dxa" w:w="60"/>
              <w:right w:type="dxa" w:w="100"/>
            </w:tcMar>
          </w:tcPr>
          <w:p>
            <w:pPr>
              <w:spacing w:after="0"/>
              <w:jc w:val="right"/>
            </w:pPr>
            <w:r>
              <w:rPr>
                <w:sz w:val="20"/>
                <w:szCs w:val="20"/>
              </w:rPr>
              <w:t xml:space="preserve">300</w:t>
            </w:r>
          </w:p>
        </w:tc>
        <w:tc>
          <w:tcPr>
            <w:tcW w:type="dxa" w:w="1400"/>
            <w:tcMar>
              <w:top w:type="dxa" w:w="60"/>
              <w:left w:type="dxa" w:w="100"/>
              <w:bottom w:type="dxa" w:w="60"/>
              <w:right w:type="dxa" w:w="100"/>
            </w:tcMar>
          </w:tcPr>
          <w:p>
            <w:pPr>
              <w:spacing w:after="0"/>
              <w:jc w:val="right"/>
            </w:pPr>
            <w:r>
              <w:rPr>
                <w:sz w:val="20"/>
                <w:szCs w:val="20"/>
              </w:rPr>
              <w:t xml:space="preserve">1,000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Share of jobs held by women/youth</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right"/>
            </w:pPr>
            <w:r>
              <w:rPr>
                <w:sz w:val="20"/>
                <w:szCs w:val="20"/>
              </w:rPr>
              <w:t xml:space="preserve">50%</w:t>
            </w:r>
          </w:p>
        </w:tc>
        <w:tc>
          <w:tcPr>
            <w:tcW w:type="dxa" w:w="1400"/>
            <w:tcMar>
              <w:top w:type="dxa" w:w="60"/>
              <w:left w:type="dxa" w:w="100"/>
              <w:bottom w:type="dxa" w:w="60"/>
              <w:right w:type="dxa" w:w="100"/>
            </w:tcMar>
          </w:tcPr>
          <w:p>
            <w:pPr>
              <w:spacing w:after="0"/>
              <w:jc w:val="right"/>
            </w:pPr>
            <w:r>
              <w:rPr>
                <w:sz w:val="20"/>
                <w:szCs w:val="20"/>
              </w:rPr>
              <w:t xml:space="preserve">50%</w:t>
            </w:r>
          </w:p>
        </w:tc>
        <w:tc>
          <w:tcPr>
            <w:tcW w:type="dxa" w:w="1400"/>
            <w:tcMar>
              <w:top w:type="dxa" w:w="60"/>
              <w:left w:type="dxa" w:w="100"/>
              <w:bottom w:type="dxa" w:w="60"/>
              <w:right w:type="dxa" w:w="100"/>
            </w:tcMar>
          </w:tcPr>
          <w:p>
            <w:pPr>
              <w:spacing w:after="0"/>
              <w:jc w:val="right"/>
            </w:pPr>
            <w:r>
              <w:rPr>
                <w:sz w:val="20"/>
                <w:szCs w:val="20"/>
              </w:rPr>
              <w:t xml:space="preserve">50%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Producer groups operating</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right"/>
            </w:pPr>
            <w:r>
              <w:rPr>
                <w:sz w:val="20"/>
                <w:szCs w:val="20"/>
              </w:rPr>
              <w:t xml:space="preserve">12</w:t>
            </w:r>
          </w:p>
        </w:tc>
        <w:tc>
          <w:tcPr>
            <w:tcW w:type="dxa" w:w="1400"/>
            <w:tcMar>
              <w:top w:type="dxa" w:w="60"/>
              <w:left w:type="dxa" w:w="100"/>
              <w:bottom w:type="dxa" w:w="60"/>
              <w:right w:type="dxa" w:w="100"/>
            </w:tcMar>
          </w:tcPr>
          <w:p>
            <w:pPr>
              <w:spacing w:after="0"/>
              <w:jc w:val="right"/>
            </w:pPr>
            <w:r>
              <w:rPr>
                <w:sz w:val="20"/>
                <w:szCs w:val="20"/>
              </w:rPr>
              <w:t xml:space="preserve">20</w:t>
            </w:r>
          </w:p>
        </w:tc>
        <w:tc>
          <w:tcPr>
            <w:tcW w:type="dxa" w:w="1400"/>
            <w:tcMar>
              <w:top w:type="dxa" w:w="60"/>
              <w:left w:type="dxa" w:w="100"/>
              <w:bottom w:type="dxa" w:w="60"/>
              <w:right w:type="dxa" w:w="100"/>
            </w:tcMar>
          </w:tcPr>
          <w:p>
            <w:pPr>
              <w:spacing w:after="0"/>
              <w:jc w:val="right"/>
            </w:pPr>
            <w:r>
              <w:rPr>
                <w:sz w:val="20"/>
                <w:szCs w:val="20"/>
              </w:rPr>
              <w:t xml:space="preserve">100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Processing centre revenue (US$/yr)</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right"/>
            </w:pPr>
            <w:r>
              <w:rPr>
                <w:sz w:val="20"/>
                <w:szCs w:val="20"/>
              </w:rPr>
              <w:t xml:space="preserve">150,000</w:t>
            </w:r>
          </w:p>
        </w:tc>
        <w:tc>
          <w:tcPr>
            <w:tcW w:type="dxa" w:w="1400"/>
            <w:tcMar>
              <w:top w:type="dxa" w:w="60"/>
              <w:left w:type="dxa" w:w="100"/>
              <w:bottom w:type="dxa" w:w="60"/>
              <w:right w:type="dxa" w:w="100"/>
            </w:tcMar>
          </w:tcPr>
          <w:p>
            <w:pPr>
              <w:spacing w:after="0"/>
              <w:jc w:val="right"/>
            </w:pPr>
            <w:r>
              <w:rPr>
                <w:sz w:val="20"/>
                <w:szCs w:val="20"/>
              </w:rPr>
              <w:t xml:space="preserve">1,500,000</w:t>
            </w:r>
          </w:p>
        </w:tc>
      </w:tr>
      <w:tr>
        <w:trPr>
          <w:tblHeader w:val="false"/>
        </w:trPr>
        <w:tc>
          <w:tcPr>
            <w:tcW w:type="dxa" w:w="3760"/>
            <w:tcMar>
              <w:top w:type="dxa" w:w="60"/>
              <w:left w:type="dxa" w:w="100"/>
              <w:bottom w:type="dxa" w:w="60"/>
              <w:right w:type="dxa" w:w="100"/>
            </w:tcMar>
          </w:tcPr>
          <w:p>
            <w:pPr>
              <w:spacing w:after="0"/>
              <w:jc w:val="left"/>
            </w:pPr>
            <w:r>
              <w:rPr>
                <w:sz w:val="20"/>
                <w:szCs w:val="20"/>
              </w:rPr>
              <w:t xml:space="preserve">Estimated CO₂e sequestered (t, cumulative)</w:t>
            </w:r>
          </w:p>
        </w:tc>
        <w:tc>
          <w:tcPr>
            <w:tcW w:type="dxa" w:w="1400"/>
            <w:tcMar>
              <w:top w:type="dxa" w:w="60"/>
              <w:left w:type="dxa" w:w="100"/>
              <w:bottom w:type="dxa" w:w="60"/>
              <w:right w:type="dxa" w:w="100"/>
            </w:tcMar>
          </w:tcPr>
          <w:p>
            <w:pPr>
              <w:spacing w:after="0"/>
              <w:jc w:val="right"/>
            </w:pPr>
            <w:r>
              <w:rPr>
                <w:sz w:val="20"/>
                <w:szCs w:val="20"/>
              </w:rPr>
              <w:t xml:space="preserve">0</w:t>
            </w:r>
          </w:p>
        </w:tc>
        <w:tc>
          <w:tcPr>
            <w:tcW w:type="dxa" w:w="1400"/>
            <w:tcMar>
              <w:top w:type="dxa" w:w="60"/>
              <w:left w:type="dxa" w:w="100"/>
              <w:bottom w:type="dxa" w:w="60"/>
              <w:right w:type="dxa" w:w="100"/>
            </w:tcMar>
          </w:tcPr>
          <w:p>
            <w:pPr>
              <w:spacing w:after="0"/>
              <w:jc w:val="left"/>
            </w:pPr>
            <w:r>
              <w:rPr>
                <w:sz w:val="20"/>
                <w:szCs w:val="20"/>
              </w:rPr>
              <w:t xml:space="preserve">—</w:t>
            </w:r>
          </w:p>
        </w:tc>
        <w:tc>
          <w:tcPr>
            <w:tcW w:type="dxa" w:w="1400"/>
            <w:tcMar>
              <w:top w:type="dxa" w:w="60"/>
              <w:left w:type="dxa" w:w="100"/>
              <w:bottom w:type="dxa" w:w="60"/>
              <w:right w:type="dxa" w:w="100"/>
            </w:tcMar>
          </w:tcPr>
          <w:p>
            <w:pPr>
              <w:spacing w:after="0"/>
              <w:jc w:val="right"/>
            </w:pPr>
            <w:r>
              <w:rPr>
                <w:sz w:val="20"/>
                <w:szCs w:val="20"/>
              </w:rPr>
              <w:t xml:space="preserve">4,000</w:t>
            </w:r>
          </w:p>
        </w:tc>
        <w:tc>
          <w:tcPr>
            <w:tcW w:type="dxa" w:w="1400"/>
            <w:tcMar>
              <w:top w:type="dxa" w:w="60"/>
              <w:left w:type="dxa" w:w="100"/>
              <w:bottom w:type="dxa" w:w="60"/>
              <w:right w:type="dxa" w:w="100"/>
            </w:tcMar>
          </w:tcPr>
          <w:p>
            <w:pPr>
              <w:spacing w:after="0"/>
              <w:jc w:val="right"/>
            </w:pPr>
            <w:r>
              <w:rPr>
                <w:sz w:val="20"/>
                <w:szCs w:val="20"/>
              </w:rPr>
              <w:t xml:space="preserve">40,000</w:t>
            </w:r>
          </w:p>
        </w:tc>
      </w:tr>
    </w:tbl>
    <w:p>
      <w:pPr>
        <w:spacing w:after="120" w:line="276"/>
        <w:jc w:val="left"/>
      </w:pPr>
      <w:r>
        <w:rPr>
          <w:sz w:val="22"/>
          <w:szCs w:val="22"/>
        </w:rPr>
        <w:t xml:space="preserve"/>
      </w:r>
    </w:p>
    <w:p>
      <w:pPr>
        <w:spacing w:after="120" w:line="276"/>
        <w:jc w:val="left"/>
      </w:pPr>
      <w:r>
        <w:rPr>
          <w:i/>
          <w:iCs/>
          <w:color w:val="555555"/>
          <w:sz w:val="20"/>
          <w:szCs w:val="20"/>
        </w:rPr>
        <w:t xml:space="preserve">Baselines for food-security and income indicators will be established through a household survey in the first quarter, using FAO's Food Insecurity Experience Scale and a standardised farm-income questionnaire. All data is captured on the programme's digital farm register and made available to funders through a live reporting dashboard.</w:t>
      </w:r>
    </w:p>
    <w:p>
      <w:pPr>
        <w:pStyle w:val="Heading1"/>
        <w:spacing w:after="160" w:before="360"/>
      </w:pPr>
      <w:r>
        <w:rPr>
          <w:b/>
          <w:bCs/>
          <w:color w:val="1F5C3A"/>
          <w:sz w:val="30"/>
          <w:szCs w:val="30"/>
        </w:rPr>
        <w:t xml:space="preserve">6. Implementation Arrangements</w:t>
      </w:r>
    </w:p>
    <w:p>
      <w:pPr>
        <w:pStyle w:val="Heading2"/>
        <w:spacing w:after="120" w:before="240"/>
      </w:pPr>
      <w:r>
        <w:rPr>
          <w:b/>
          <w:bCs/>
          <w:color w:val="1F5C3A"/>
          <w:sz w:val="25"/>
          <w:szCs w:val="25"/>
        </w:rPr>
        <w:t xml:space="preserve">6.1 Partnership model</w:t>
      </w:r>
    </w:p>
    <w:p>
      <w:pPr>
        <w:spacing w:after="120" w:line="276"/>
        <w:jc w:val="left"/>
      </w:pPr>
      <w:r>
        <w:rPr>
          <w:sz w:val="22"/>
          <w:szCs w:val="22"/>
        </w:rPr>
        <w:t xml:space="preserve">International agricultural and climate funders generally do not fund a private company to plant trees. This programme is therefore structured as a public-benefit initiative led by a registered charity, delivered with government agencies and technical partners, and supported by private-sector implementation capacity: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shd w:fill="1F5C3A" w:color="auto" w:val="clear"/>
            <w:tcMar>
              <w:top w:type="dxa" w:w="60"/>
              <w:left w:type="dxa" w:w="100"/>
              <w:bottom w:type="dxa" w:w="60"/>
              <w:right w:type="dxa" w:w="100"/>
            </w:tcMar>
          </w:tcPr>
          <w:p>
            <w:pPr>
              <w:spacing w:after="0"/>
              <w:jc w:val="left"/>
            </w:pPr>
            <w:r>
              <w:rPr>
                <w:b/>
                <w:bCs/>
                <w:color w:val="FFFFFF"/>
                <w:sz w:val="20"/>
                <w:szCs w:val="20"/>
              </w:rPr>
              <w:t xml:space="preserve">Partner</w:t>
            </w:r>
          </w:p>
        </w:tc>
        <w:tc>
          <w:tcPr>
            <w:tcW w:type="dxa" w:w="6560"/>
            <w:shd w:fill="1F5C3A" w:color="auto" w:val="clear"/>
            <w:tcMar>
              <w:top w:type="dxa" w:w="60"/>
              <w:left w:type="dxa" w:w="100"/>
              <w:bottom w:type="dxa" w:w="60"/>
              <w:right w:type="dxa" w:w="100"/>
            </w:tcMar>
          </w:tcPr>
          <w:p>
            <w:pPr>
              <w:spacing w:after="0"/>
              <w:jc w:val="left"/>
            </w:pPr>
            <w:r>
              <w:rPr>
                <w:b/>
                <w:bCs/>
                <w:color w:val="FFFFFF"/>
                <w:sz w:val="20"/>
                <w:szCs w:val="20"/>
              </w:rPr>
              <w:t xml:space="preserve">Role</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CRM JA Charity</w:t>
            </w:r>
          </w:p>
        </w:tc>
        <w:tc>
          <w:tcPr>
            <w:tcW w:type="dxa" w:w="6560"/>
            <w:tcMar>
              <w:top w:type="dxa" w:w="60"/>
              <w:left w:type="dxa" w:w="100"/>
              <w:bottom w:type="dxa" w:w="60"/>
              <w:right w:type="dxa" w:w="100"/>
            </w:tcMar>
          </w:tcPr>
          <w:p>
            <w:pPr>
              <w:spacing w:after="0"/>
              <w:jc w:val="left"/>
            </w:pPr>
            <w:r>
              <w:rPr>
                <w:sz w:val="20"/>
                <w:szCs w:val="20"/>
              </w:rPr>
              <w:t xml:space="preserve">Lead applicant and programme holder; grant management, safeguarding, reporting</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Ministry of Agriculture, Fisheries and Mining / RADA</w:t>
            </w:r>
          </w:p>
        </w:tc>
        <w:tc>
          <w:tcPr>
            <w:tcW w:type="dxa" w:w="6560"/>
            <w:tcMar>
              <w:top w:type="dxa" w:w="60"/>
              <w:left w:type="dxa" w:w="100"/>
              <w:bottom w:type="dxa" w:w="60"/>
              <w:right w:type="dxa" w:w="100"/>
            </w:tcMar>
          </w:tcPr>
          <w:p>
            <w:pPr>
              <w:spacing w:after="0"/>
              <w:jc w:val="left"/>
            </w:pPr>
            <w:r>
              <w:rPr>
                <w:sz w:val="20"/>
                <w:szCs w:val="20"/>
              </w:rPr>
              <w:t xml:space="preserve">Policy alignment, extension officers, farmer registration (ABIS), certification of planting material</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FAO Jamaica</w:t>
            </w:r>
          </w:p>
        </w:tc>
        <w:tc>
          <w:tcPr>
            <w:tcW w:type="dxa" w:w="6560"/>
            <w:tcMar>
              <w:top w:type="dxa" w:w="60"/>
              <w:left w:type="dxa" w:w="100"/>
              <w:bottom w:type="dxa" w:w="60"/>
              <w:right w:type="dxa" w:w="100"/>
            </w:tcMar>
          </w:tcPr>
          <w:p>
            <w:pPr>
              <w:spacing w:after="0"/>
              <w:jc w:val="left"/>
            </w:pPr>
            <w:r>
              <w:rPr>
                <w:sz w:val="20"/>
                <w:szCs w:val="20"/>
              </w:rPr>
              <w:t xml:space="preserve">Technical guidance; alignment with the GCF-funded ADAPT Jamaica programme</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Planning Institute of Jamaica (PIOJ)</w:t>
            </w:r>
          </w:p>
        </w:tc>
        <w:tc>
          <w:tcPr>
            <w:tcW w:type="dxa" w:w="6560"/>
            <w:tcMar>
              <w:top w:type="dxa" w:w="60"/>
              <w:left w:type="dxa" w:w="100"/>
              <w:bottom w:type="dxa" w:w="60"/>
              <w:right w:type="dxa" w:w="100"/>
            </w:tcMar>
          </w:tcPr>
          <w:p>
            <w:pPr>
              <w:spacing w:after="0"/>
              <w:jc w:val="left"/>
            </w:pPr>
            <w:r>
              <w:rPr>
                <w:sz w:val="20"/>
                <w:szCs w:val="20"/>
              </w:rPr>
              <w:t xml:space="preserve">National designated authority for GCF and GEF; programme endorsement</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SCJ Holdings Limited</w:t>
            </w:r>
          </w:p>
        </w:tc>
        <w:tc>
          <w:tcPr>
            <w:tcW w:type="dxa" w:w="6560"/>
            <w:tcMar>
              <w:top w:type="dxa" w:w="60"/>
              <w:left w:type="dxa" w:w="100"/>
              <w:bottom w:type="dxa" w:w="60"/>
              <w:right w:type="dxa" w:w="100"/>
            </w:tcMar>
          </w:tcPr>
          <w:p>
            <w:pPr>
              <w:spacing w:after="0"/>
              <w:jc w:val="left"/>
            </w:pPr>
            <w:r>
              <w:rPr>
                <w:sz w:val="20"/>
                <w:szCs w:val="20"/>
              </w:rPr>
              <w:t xml:space="preserve">Landlord of the Shrewsbury parcels; consent to leasehold transfer and term extension; potential additional former-sugar lands for Phase II</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Jamaica Social Investment Fund (JSIF) / Agro-Invest Corporation</w:t>
            </w:r>
          </w:p>
        </w:tc>
        <w:tc>
          <w:tcPr>
            <w:tcW w:type="dxa" w:w="6560"/>
            <w:tcMar>
              <w:top w:type="dxa" w:w="60"/>
              <w:left w:type="dxa" w:w="100"/>
              <w:bottom w:type="dxa" w:w="60"/>
              <w:right w:type="dxa" w:w="100"/>
            </w:tcMar>
          </w:tcPr>
          <w:p>
            <w:pPr>
              <w:spacing w:after="0"/>
              <w:jc w:val="left"/>
            </w:pPr>
            <w:r>
              <w:rPr>
                <w:sz w:val="20"/>
                <w:szCs w:val="20"/>
              </w:rPr>
              <w:t xml:space="preserve">Potential accredited-entity or co-implementation channel; land and infrastructure</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Western Jamaica Tree Crop Producers' Association</w:t>
            </w:r>
          </w:p>
        </w:tc>
        <w:tc>
          <w:tcPr>
            <w:tcW w:type="dxa" w:w="6560"/>
            <w:tcMar>
              <w:top w:type="dxa" w:w="60"/>
              <w:left w:type="dxa" w:w="100"/>
              <w:bottom w:type="dxa" w:w="60"/>
              <w:right w:type="dxa" w:w="100"/>
            </w:tcMar>
          </w:tcPr>
          <w:p>
            <w:pPr>
              <w:spacing w:after="0"/>
              <w:jc w:val="left"/>
            </w:pPr>
            <w:r>
              <w:rPr>
                <w:sz w:val="20"/>
                <w:szCs w:val="20"/>
              </w:rPr>
              <w:t xml:space="preserve">Farmer ownership, input stores, collective marketing</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CRM Jamaica Group</w:t>
            </w:r>
          </w:p>
        </w:tc>
        <w:tc>
          <w:tcPr>
            <w:tcW w:type="dxa" w:w="6560"/>
            <w:tcMar>
              <w:top w:type="dxa" w:w="60"/>
              <w:left w:type="dxa" w:w="100"/>
              <w:bottom w:type="dxa" w:w="60"/>
              <w:right w:type="dxa" w:w="100"/>
            </w:tcMar>
          </w:tcPr>
          <w:p>
            <w:pPr>
              <w:spacing w:after="0"/>
              <w:jc w:val="left"/>
            </w:pPr>
            <w:r>
              <w:rPr>
                <w:sz w:val="20"/>
                <w:szCs w:val="20"/>
              </w:rPr>
              <w:t xml:space="preserve">Technical implementer for digital systems, market platforms and processing-centre operations (at cost, under a disclosed related-party agreement approved by the Steering Committee)</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Universities / research (UWI, CASE, Bodles)</w:t>
            </w:r>
          </w:p>
        </w:tc>
        <w:tc>
          <w:tcPr>
            <w:tcW w:type="dxa" w:w="6560"/>
            <w:tcMar>
              <w:top w:type="dxa" w:w="60"/>
              <w:left w:type="dxa" w:w="100"/>
              <w:bottom w:type="dxa" w:w="60"/>
              <w:right w:type="dxa" w:w="100"/>
            </w:tcMar>
          </w:tcPr>
          <w:p>
            <w:pPr>
              <w:spacing w:after="0"/>
              <w:jc w:val="left"/>
            </w:pPr>
            <w:r>
              <w:rPr>
                <w:sz w:val="20"/>
                <w:szCs w:val="20"/>
              </w:rPr>
              <w:t xml:space="preserve">Varietal selection, agronomic trials, carbon measurement</w:t>
            </w:r>
          </w:p>
        </w:tc>
      </w:tr>
    </w:tbl>
    <w:p>
      <w:pPr>
        <w:spacing w:after="120" w:line="276"/>
        <w:jc w:val="left"/>
      </w:pPr>
      <w:r>
        <w:rPr>
          <w:sz w:val="22"/>
          <w:szCs w:val="22"/>
        </w:rPr>
        <w:t xml:space="preserve"/>
      </w:r>
    </w:p>
    <w:p>
      <w:pPr>
        <w:pStyle w:val="Heading2"/>
        <w:spacing w:after="120" w:before="240"/>
      </w:pPr>
      <w:r>
        <w:rPr>
          <w:b/>
          <w:bCs/>
          <w:color w:val="1F5C3A"/>
          <w:sz w:val="25"/>
          <w:szCs w:val="25"/>
        </w:rPr>
        <w:t xml:space="preserve">6.2 Programme management</w:t>
      </w:r>
    </w:p>
    <w:p>
      <w:pPr>
        <w:spacing w:after="120" w:line="276"/>
        <w:jc w:val="left"/>
      </w:pPr>
      <w:r>
        <w:rPr>
          <w:sz w:val="22"/>
          <w:szCs w:val="22"/>
        </w:rPr>
        <w:t xml:space="preserve">A Programme Management Unit reporting to the Steering Committee will comprise a Programme Manager, a Lead Agronomist, a Farmer Organisation &amp; Gender Officer, an M&amp;E and Data Officer, a Finance &amp; Compliance Officer, a Nursery Manager and a Processing Centre Manager, supported by field officers at a ratio of one per 100 farmers. Extension delivery is shared with RADA parish officers.</w:t>
      </w:r>
    </w:p>
    <w:p>
      <w:pPr>
        <w:pStyle w:val="Heading2"/>
        <w:spacing w:after="120" w:before="240"/>
      </w:pPr>
      <w:r>
        <w:rPr>
          <w:b/>
          <w:bCs/>
          <w:color w:val="1F5C3A"/>
          <w:sz w:val="25"/>
          <w:szCs w:val="25"/>
        </w:rPr>
        <w:t xml:space="preserve">6.3 Safeguards</w:t>
      </w:r>
    </w:p>
    <w:p>
      <w:pPr>
        <w:pStyle w:val="ListParagraph"/>
        <w:numPr>
          <w:ilvl w:val="0"/>
          <w:numId w:val="2"/>
        </w:numPr>
        <w:spacing w:after="80" w:line="264"/>
      </w:pPr>
      <w:r>
        <w:rPr>
          <w:sz w:val="22"/>
          <w:szCs w:val="22"/>
        </w:rPr>
        <w:t xml:space="preserve">Environmental: native and non-invasive species only; no clearance of forest or wetland; organic-input-first policy; water-use plans for nurseries.</w:t>
      </w:r>
    </w:p>
    <w:p>
      <w:pPr>
        <w:pStyle w:val="ListParagraph"/>
        <w:numPr>
          <w:ilvl w:val="0"/>
          <w:numId w:val="2"/>
        </w:numPr>
        <w:spacing w:after="80" w:line="264"/>
      </w:pPr>
      <w:r>
        <w:rPr>
          <w:sz w:val="22"/>
          <w:szCs w:val="22"/>
        </w:rPr>
        <w:t xml:space="preserve">Social and gender: minimum 40% female enrolment target; grievance mechanism; child-labour prohibition; free, prior and informed consent for any land arrangements.</w:t>
      </w:r>
    </w:p>
    <w:p>
      <w:pPr>
        <w:pStyle w:val="ListParagraph"/>
        <w:numPr>
          <w:ilvl w:val="0"/>
          <w:numId w:val="2"/>
        </w:numPr>
        <w:spacing w:after="80" w:line="264"/>
      </w:pPr>
      <w:r>
        <w:rPr>
          <w:sz w:val="22"/>
          <w:szCs w:val="22"/>
        </w:rPr>
        <w:t xml:space="preserve">Financial: segregated grant accounts; annual external audit; procurement policy per the charity's adopted manual; related-party transactions disclosed and independently approved.</w:t>
      </w:r>
    </w:p>
    <w:p>
      <w:r>
        <w:br w:type="page"/>
      </w:r>
    </w:p>
    <w:p>
      <w:pPr>
        <w:pStyle w:val="Heading1"/>
        <w:spacing w:after="160" w:before="360"/>
      </w:pPr>
      <w:r>
        <w:rPr>
          <w:b/>
          <w:bCs/>
          <w:color w:val="1F5C3A"/>
          <w:sz w:val="30"/>
          <w:szCs w:val="30"/>
        </w:rPr>
        <w:t xml:space="preserve">7. Indicative Phase I Budget (36 months)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60"/>
        <w:gridCol w:w="1300"/>
        <w:gridCol w:w="1300"/>
        <w:gridCol w:w="1300"/>
        <w:gridCol w:w="1300"/>
      </w:tblGrid>
      <w:tr>
        <w:trPr>
          <w:tblHeader/>
        </w:trPr>
        <w:tc>
          <w:tcPr>
            <w:tcW w:type="dxa" w:w="4160"/>
            <w:shd w:fill="1F5C3A" w:color="auto" w:val="clear"/>
            <w:tcMar>
              <w:top w:type="dxa" w:w="60"/>
              <w:left w:type="dxa" w:w="100"/>
              <w:bottom w:type="dxa" w:w="60"/>
              <w:right w:type="dxa" w:w="100"/>
            </w:tcMar>
          </w:tcPr>
          <w:p>
            <w:pPr>
              <w:spacing w:after="0"/>
              <w:jc w:val="left"/>
            </w:pPr>
            <w:r>
              <w:rPr>
                <w:b/>
                <w:bCs/>
                <w:color w:val="FFFFFF"/>
                <w:sz w:val="20"/>
                <w:szCs w:val="20"/>
              </w:rPr>
              <w:t xml:space="preserve">Budget line</w:t>
            </w:r>
          </w:p>
        </w:tc>
        <w:tc>
          <w:tcPr>
            <w:tcW w:type="dxa" w:w="1300"/>
            <w:shd w:fill="1F5C3A" w:color="auto" w:val="clear"/>
            <w:tcMar>
              <w:top w:type="dxa" w:w="60"/>
              <w:left w:type="dxa" w:w="100"/>
              <w:bottom w:type="dxa" w:w="60"/>
              <w:right w:type="dxa" w:w="100"/>
            </w:tcMar>
          </w:tcPr>
          <w:p>
            <w:pPr>
              <w:spacing w:after="0"/>
              <w:jc w:val="left"/>
            </w:pPr>
            <w:r>
              <w:rPr>
                <w:b/>
                <w:bCs/>
                <w:color w:val="FFFFFF"/>
                <w:sz w:val="20"/>
                <w:szCs w:val="20"/>
              </w:rPr>
              <w:t xml:space="preserve">Year 1</w:t>
            </w:r>
          </w:p>
        </w:tc>
        <w:tc>
          <w:tcPr>
            <w:tcW w:type="dxa" w:w="1300"/>
            <w:shd w:fill="1F5C3A" w:color="auto" w:val="clear"/>
            <w:tcMar>
              <w:top w:type="dxa" w:w="60"/>
              <w:left w:type="dxa" w:w="100"/>
              <w:bottom w:type="dxa" w:w="60"/>
              <w:right w:type="dxa" w:w="100"/>
            </w:tcMar>
          </w:tcPr>
          <w:p>
            <w:pPr>
              <w:spacing w:after="0"/>
              <w:jc w:val="left"/>
            </w:pPr>
            <w:r>
              <w:rPr>
                <w:b/>
                <w:bCs/>
                <w:color w:val="FFFFFF"/>
                <w:sz w:val="20"/>
                <w:szCs w:val="20"/>
              </w:rPr>
              <w:t xml:space="preserve">Year 2</w:t>
            </w:r>
          </w:p>
        </w:tc>
        <w:tc>
          <w:tcPr>
            <w:tcW w:type="dxa" w:w="1300"/>
            <w:shd w:fill="1F5C3A" w:color="auto" w:val="clear"/>
            <w:tcMar>
              <w:top w:type="dxa" w:w="60"/>
              <w:left w:type="dxa" w:w="100"/>
              <w:bottom w:type="dxa" w:w="60"/>
              <w:right w:type="dxa" w:w="100"/>
            </w:tcMar>
          </w:tcPr>
          <w:p>
            <w:pPr>
              <w:spacing w:after="0"/>
              <w:jc w:val="left"/>
            </w:pPr>
            <w:r>
              <w:rPr>
                <w:b/>
                <w:bCs/>
                <w:color w:val="FFFFFF"/>
                <w:sz w:val="20"/>
                <w:szCs w:val="20"/>
              </w:rPr>
              <w:t xml:space="preserve">Year 3</w:t>
            </w:r>
          </w:p>
        </w:tc>
        <w:tc>
          <w:tcPr>
            <w:tcW w:type="dxa" w:w="1300"/>
            <w:shd w:fill="1F5C3A" w:color="auto" w:val="clear"/>
            <w:tcMar>
              <w:top w:type="dxa" w:w="60"/>
              <w:left w:type="dxa" w:w="100"/>
              <w:bottom w:type="dxa" w:w="60"/>
              <w:right w:type="dxa" w:w="100"/>
            </w:tcMar>
          </w:tcPr>
          <w:p>
            <w:pPr>
              <w:spacing w:after="0"/>
              <w:jc w:val="left"/>
            </w:pPr>
            <w:r>
              <w:rPr>
                <w:b/>
                <w:bCs/>
                <w:color w:val="FFFFFF"/>
                <w:sz w:val="20"/>
                <w:szCs w:val="20"/>
              </w:rPr>
              <w:t xml:space="preserve">Total (US$)</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1. Nursery establishment &amp; planting material (50,000 seedlings + 10% replacement)</w:t>
            </w:r>
          </w:p>
        </w:tc>
        <w:tc>
          <w:tcPr>
            <w:tcW w:type="dxa" w:w="1300"/>
            <w:tcMar>
              <w:top w:type="dxa" w:w="60"/>
              <w:left w:type="dxa" w:w="100"/>
              <w:bottom w:type="dxa" w:w="60"/>
              <w:right w:type="dxa" w:w="100"/>
            </w:tcMar>
          </w:tcPr>
          <w:p>
            <w:pPr>
              <w:spacing w:after="0"/>
              <w:jc w:val="right"/>
            </w:pPr>
            <w:r>
              <w:rPr>
                <w:sz w:val="20"/>
                <w:szCs w:val="20"/>
              </w:rPr>
              <w:t xml:space="preserve">220,000</w:t>
            </w:r>
          </w:p>
        </w:tc>
        <w:tc>
          <w:tcPr>
            <w:tcW w:type="dxa" w:w="1300"/>
            <w:tcMar>
              <w:top w:type="dxa" w:w="60"/>
              <w:left w:type="dxa" w:w="100"/>
              <w:bottom w:type="dxa" w:w="60"/>
              <w:right w:type="dxa" w:w="100"/>
            </w:tcMar>
          </w:tcPr>
          <w:p>
            <w:pPr>
              <w:spacing w:after="0"/>
              <w:jc w:val="right"/>
            </w:pPr>
            <w:r>
              <w:rPr>
                <w:sz w:val="20"/>
                <w:szCs w:val="20"/>
              </w:rPr>
              <w:t xml:space="preserve">160,000</w:t>
            </w:r>
          </w:p>
        </w:tc>
        <w:tc>
          <w:tcPr>
            <w:tcW w:type="dxa" w:w="1300"/>
            <w:tcMar>
              <w:top w:type="dxa" w:w="60"/>
              <w:left w:type="dxa" w:w="100"/>
              <w:bottom w:type="dxa" w:w="60"/>
              <w:right w:type="dxa" w:w="100"/>
            </w:tcMar>
          </w:tcPr>
          <w:p>
            <w:pPr>
              <w:spacing w:after="0"/>
              <w:jc w:val="right"/>
            </w:pPr>
            <w:r>
              <w:rPr>
                <w:sz w:val="20"/>
                <w:szCs w:val="20"/>
              </w:rPr>
              <w:t xml:space="preserve">70,000</w:t>
            </w:r>
          </w:p>
        </w:tc>
        <w:tc>
          <w:tcPr>
            <w:tcW w:type="dxa" w:w="1300"/>
            <w:tcMar>
              <w:top w:type="dxa" w:w="60"/>
              <w:left w:type="dxa" w:w="100"/>
              <w:bottom w:type="dxa" w:w="60"/>
              <w:right w:type="dxa" w:w="100"/>
            </w:tcMar>
          </w:tcPr>
          <w:p>
            <w:pPr>
              <w:spacing w:after="0"/>
              <w:jc w:val="right"/>
            </w:pPr>
            <w:r>
              <w:rPr>
                <w:sz w:val="20"/>
                <w:szCs w:val="20"/>
              </w:rPr>
              <w:t xml:space="preserve">450,000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2. Farm establishment: land prep, inputs, mulch, water harvesting (US$300/farm)</w:t>
            </w:r>
          </w:p>
        </w:tc>
        <w:tc>
          <w:tcPr>
            <w:tcW w:type="dxa" w:w="1300"/>
            <w:tcMar>
              <w:top w:type="dxa" w:w="60"/>
              <w:left w:type="dxa" w:w="100"/>
              <w:bottom w:type="dxa" w:w="60"/>
              <w:right w:type="dxa" w:w="100"/>
            </w:tcMar>
          </w:tcPr>
          <w:p>
            <w:pPr>
              <w:spacing w:after="0"/>
              <w:jc w:val="right"/>
            </w:pPr>
            <w:r>
              <w:rPr>
                <w:sz w:val="20"/>
                <w:szCs w:val="20"/>
              </w:rPr>
              <w:t xml:space="preserve">150,000</w:t>
            </w:r>
          </w:p>
        </w:tc>
        <w:tc>
          <w:tcPr>
            <w:tcW w:type="dxa" w:w="1300"/>
            <w:tcMar>
              <w:top w:type="dxa" w:w="60"/>
              <w:left w:type="dxa" w:w="100"/>
              <w:bottom w:type="dxa" w:w="60"/>
              <w:right w:type="dxa" w:w="100"/>
            </w:tcMar>
          </w:tcPr>
          <w:p>
            <w:pPr>
              <w:spacing w:after="0"/>
              <w:jc w:val="right"/>
            </w:pPr>
            <w:r>
              <w:rPr>
                <w:sz w:val="20"/>
                <w:szCs w:val="20"/>
              </w:rPr>
              <w:t xml:space="preserve">120,000</w:t>
            </w:r>
          </w:p>
        </w:tc>
        <w:tc>
          <w:tcPr>
            <w:tcW w:type="dxa" w:w="1300"/>
            <w:tcMar>
              <w:top w:type="dxa" w:w="60"/>
              <w:left w:type="dxa" w:w="100"/>
              <w:bottom w:type="dxa" w:w="60"/>
              <w:right w:type="dxa" w:w="100"/>
            </w:tcMar>
          </w:tcPr>
          <w:p>
            <w:pPr>
              <w:spacing w:after="0"/>
              <w:jc w:val="right"/>
            </w:pPr>
            <w:r>
              <w:rPr>
                <w:sz w:val="20"/>
                <w:szCs w:val="20"/>
              </w:rPr>
              <w:t xml:space="preserve">30,000</w:t>
            </w:r>
          </w:p>
        </w:tc>
        <w:tc>
          <w:tcPr>
            <w:tcW w:type="dxa" w:w="1300"/>
            <w:tcMar>
              <w:top w:type="dxa" w:w="60"/>
              <w:left w:type="dxa" w:w="100"/>
              <w:bottom w:type="dxa" w:w="60"/>
              <w:right w:type="dxa" w:w="100"/>
            </w:tcMar>
          </w:tcPr>
          <w:p>
            <w:pPr>
              <w:spacing w:after="0"/>
              <w:jc w:val="right"/>
            </w:pPr>
            <w:r>
              <w:rPr>
                <w:sz w:val="20"/>
                <w:szCs w:val="20"/>
              </w:rPr>
              <w:t xml:space="preserve">300,000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3. Training, extension &amp; lead-farmer network</w:t>
            </w:r>
          </w:p>
        </w:tc>
        <w:tc>
          <w:tcPr>
            <w:tcW w:type="dxa" w:w="1300"/>
            <w:tcMar>
              <w:top w:type="dxa" w:w="60"/>
              <w:left w:type="dxa" w:w="100"/>
              <w:bottom w:type="dxa" w:w="60"/>
              <w:right w:type="dxa" w:w="100"/>
            </w:tcMar>
          </w:tcPr>
          <w:p>
            <w:pPr>
              <w:spacing w:after="0"/>
              <w:jc w:val="right"/>
            </w:pPr>
            <w:r>
              <w:rPr>
                <w:sz w:val="20"/>
                <w:szCs w:val="20"/>
              </w:rPr>
              <w:t xml:space="preserve">90,000</w:t>
            </w:r>
          </w:p>
        </w:tc>
        <w:tc>
          <w:tcPr>
            <w:tcW w:type="dxa" w:w="1300"/>
            <w:tcMar>
              <w:top w:type="dxa" w:w="60"/>
              <w:left w:type="dxa" w:w="100"/>
              <w:bottom w:type="dxa" w:w="60"/>
              <w:right w:type="dxa" w:w="100"/>
            </w:tcMar>
          </w:tcPr>
          <w:p>
            <w:pPr>
              <w:spacing w:after="0"/>
              <w:jc w:val="right"/>
            </w:pPr>
            <w:r>
              <w:rPr>
                <w:sz w:val="20"/>
                <w:szCs w:val="20"/>
              </w:rPr>
              <w:t xml:space="preserve">90,000</w:t>
            </w:r>
          </w:p>
        </w:tc>
        <w:tc>
          <w:tcPr>
            <w:tcW w:type="dxa" w:w="1300"/>
            <w:tcMar>
              <w:top w:type="dxa" w:w="60"/>
              <w:left w:type="dxa" w:w="100"/>
              <w:bottom w:type="dxa" w:w="60"/>
              <w:right w:type="dxa" w:w="100"/>
            </w:tcMar>
          </w:tcPr>
          <w:p>
            <w:pPr>
              <w:spacing w:after="0"/>
              <w:jc w:val="right"/>
            </w:pPr>
            <w:r>
              <w:rPr>
                <w:sz w:val="20"/>
                <w:szCs w:val="20"/>
              </w:rPr>
              <w:t xml:space="preserve">70,000</w:t>
            </w:r>
          </w:p>
        </w:tc>
        <w:tc>
          <w:tcPr>
            <w:tcW w:type="dxa" w:w="1300"/>
            <w:tcMar>
              <w:top w:type="dxa" w:w="60"/>
              <w:left w:type="dxa" w:w="100"/>
              <w:bottom w:type="dxa" w:w="60"/>
              <w:right w:type="dxa" w:w="100"/>
            </w:tcMar>
          </w:tcPr>
          <w:p>
            <w:pPr>
              <w:spacing w:after="0"/>
              <w:jc w:val="right"/>
            </w:pPr>
            <w:r>
              <w:rPr>
                <w:sz w:val="20"/>
                <w:szCs w:val="20"/>
              </w:rPr>
              <w:t xml:space="preserve">250,000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4. Farmer organisation &amp; co-operative development</w:t>
            </w:r>
          </w:p>
        </w:tc>
        <w:tc>
          <w:tcPr>
            <w:tcW w:type="dxa" w:w="1300"/>
            <w:tcMar>
              <w:top w:type="dxa" w:w="60"/>
              <w:left w:type="dxa" w:w="100"/>
              <w:bottom w:type="dxa" w:w="60"/>
              <w:right w:type="dxa" w:w="100"/>
            </w:tcMar>
          </w:tcPr>
          <w:p>
            <w:pPr>
              <w:spacing w:after="0"/>
              <w:jc w:val="right"/>
            </w:pPr>
            <w:r>
              <w:rPr>
                <w:sz w:val="20"/>
                <w:szCs w:val="20"/>
              </w:rPr>
              <w:t xml:space="preserve">40,000</w:t>
            </w:r>
          </w:p>
        </w:tc>
        <w:tc>
          <w:tcPr>
            <w:tcW w:type="dxa" w:w="1300"/>
            <w:tcMar>
              <w:top w:type="dxa" w:w="60"/>
              <w:left w:type="dxa" w:w="100"/>
              <w:bottom w:type="dxa" w:w="60"/>
              <w:right w:type="dxa" w:w="100"/>
            </w:tcMar>
          </w:tcPr>
          <w:p>
            <w:pPr>
              <w:spacing w:after="0"/>
              <w:jc w:val="right"/>
            </w:pPr>
            <w:r>
              <w:rPr>
                <w:sz w:val="20"/>
                <w:szCs w:val="20"/>
              </w:rPr>
              <w:t xml:space="preserve">50,000</w:t>
            </w:r>
          </w:p>
        </w:tc>
        <w:tc>
          <w:tcPr>
            <w:tcW w:type="dxa" w:w="1300"/>
            <w:tcMar>
              <w:top w:type="dxa" w:w="60"/>
              <w:left w:type="dxa" w:w="100"/>
              <w:bottom w:type="dxa" w:w="60"/>
              <w:right w:type="dxa" w:w="100"/>
            </w:tcMar>
          </w:tcPr>
          <w:p>
            <w:pPr>
              <w:spacing w:after="0"/>
              <w:jc w:val="right"/>
            </w:pPr>
            <w:r>
              <w:rPr>
                <w:sz w:val="20"/>
                <w:szCs w:val="20"/>
              </w:rPr>
              <w:t xml:space="preserve">40,000</w:t>
            </w:r>
          </w:p>
        </w:tc>
        <w:tc>
          <w:tcPr>
            <w:tcW w:type="dxa" w:w="1300"/>
            <w:tcMar>
              <w:top w:type="dxa" w:w="60"/>
              <w:left w:type="dxa" w:w="100"/>
              <w:bottom w:type="dxa" w:w="60"/>
              <w:right w:type="dxa" w:w="100"/>
            </w:tcMar>
          </w:tcPr>
          <w:p>
            <w:pPr>
              <w:spacing w:after="0"/>
              <w:jc w:val="right"/>
            </w:pPr>
            <w:r>
              <w:rPr>
                <w:sz w:val="20"/>
                <w:szCs w:val="20"/>
              </w:rPr>
              <w:t xml:space="preserve">130,000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5. Aggregation &amp; Processing Centre (building fit-out, equipment, cold storage)</w:t>
            </w:r>
          </w:p>
        </w:tc>
        <w:tc>
          <w:tcPr>
            <w:tcW w:type="dxa" w:w="1300"/>
            <w:tcMar>
              <w:top w:type="dxa" w:w="60"/>
              <w:left w:type="dxa" w:w="100"/>
              <w:bottom w:type="dxa" w:w="60"/>
              <w:right w:type="dxa" w:w="100"/>
            </w:tcMar>
          </w:tcPr>
          <w:p>
            <w:pPr>
              <w:spacing w:after="0"/>
              <w:jc w:val="right"/>
            </w:pPr>
            <w:r>
              <w:rPr>
                <w:sz w:val="20"/>
                <w:szCs w:val="20"/>
              </w:rPr>
              <w:t xml:space="preserve">150,000</w:t>
            </w:r>
          </w:p>
        </w:tc>
        <w:tc>
          <w:tcPr>
            <w:tcW w:type="dxa" w:w="1300"/>
            <w:tcMar>
              <w:top w:type="dxa" w:w="60"/>
              <w:left w:type="dxa" w:w="100"/>
              <w:bottom w:type="dxa" w:w="60"/>
              <w:right w:type="dxa" w:w="100"/>
            </w:tcMar>
          </w:tcPr>
          <w:p>
            <w:pPr>
              <w:spacing w:after="0"/>
              <w:jc w:val="right"/>
            </w:pPr>
            <w:r>
              <w:rPr>
                <w:sz w:val="20"/>
                <w:szCs w:val="20"/>
              </w:rPr>
              <w:t xml:space="preserve">500,000</w:t>
            </w:r>
          </w:p>
        </w:tc>
        <w:tc>
          <w:tcPr>
            <w:tcW w:type="dxa" w:w="1300"/>
            <w:tcMar>
              <w:top w:type="dxa" w:w="60"/>
              <w:left w:type="dxa" w:w="100"/>
              <w:bottom w:type="dxa" w:w="60"/>
              <w:right w:type="dxa" w:w="100"/>
            </w:tcMar>
          </w:tcPr>
          <w:p>
            <w:pPr>
              <w:spacing w:after="0"/>
              <w:jc w:val="right"/>
            </w:pPr>
            <w:r>
              <w:rPr>
                <w:sz w:val="20"/>
                <w:szCs w:val="20"/>
              </w:rPr>
              <w:t xml:space="preserve">100,000</w:t>
            </w:r>
          </w:p>
        </w:tc>
        <w:tc>
          <w:tcPr>
            <w:tcW w:type="dxa" w:w="1300"/>
            <w:tcMar>
              <w:top w:type="dxa" w:w="60"/>
              <w:left w:type="dxa" w:w="100"/>
              <w:bottom w:type="dxa" w:w="60"/>
              <w:right w:type="dxa" w:w="100"/>
            </w:tcMar>
          </w:tcPr>
          <w:p>
            <w:pPr>
              <w:spacing w:after="0"/>
              <w:jc w:val="right"/>
            </w:pPr>
            <w:r>
              <w:rPr>
                <w:sz w:val="20"/>
                <w:szCs w:val="20"/>
              </w:rPr>
              <w:t xml:space="preserve">750,000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5b. Freeze-drying line: commercial freeze-dryer, vacuum/nitrogen packaging, solar-battery supply, food-safety certification</w:t>
            </w:r>
          </w:p>
        </w:tc>
        <w:tc>
          <w:tcPr>
            <w:tcW w:type="dxa" w:w="1300"/>
            <w:tcMar>
              <w:top w:type="dxa" w:w="60"/>
              <w:left w:type="dxa" w:w="100"/>
              <w:bottom w:type="dxa" w:w="60"/>
              <w:right w:type="dxa" w:w="100"/>
            </w:tcMar>
          </w:tcPr>
          <w:p>
            <w:pPr>
              <w:spacing w:after="0"/>
              <w:jc w:val="right"/>
            </w:pPr>
            <w:r>
              <w:rPr>
                <w:sz w:val="20"/>
                <w:szCs w:val="20"/>
              </w:rPr>
              <w:t xml:space="preserve">50,000</w:t>
            </w:r>
          </w:p>
        </w:tc>
        <w:tc>
          <w:tcPr>
            <w:tcW w:type="dxa" w:w="1300"/>
            <w:tcMar>
              <w:top w:type="dxa" w:w="60"/>
              <w:left w:type="dxa" w:w="100"/>
              <w:bottom w:type="dxa" w:w="60"/>
              <w:right w:type="dxa" w:w="100"/>
            </w:tcMar>
          </w:tcPr>
          <w:p>
            <w:pPr>
              <w:spacing w:after="0"/>
              <w:jc w:val="right"/>
            </w:pPr>
            <w:r>
              <w:rPr>
                <w:sz w:val="20"/>
                <w:szCs w:val="20"/>
              </w:rPr>
              <w:t xml:space="preserve">150,000</w:t>
            </w:r>
          </w:p>
        </w:tc>
        <w:tc>
          <w:tcPr>
            <w:tcW w:type="dxa" w:w="1300"/>
            <w:tcMar>
              <w:top w:type="dxa" w:w="60"/>
              <w:left w:type="dxa" w:w="100"/>
              <w:bottom w:type="dxa" w:w="60"/>
              <w:right w:type="dxa" w:w="100"/>
            </w:tcMar>
          </w:tcPr>
          <w:p>
            <w:pPr>
              <w:spacing w:after="0"/>
              <w:jc w:val="right"/>
            </w:pPr>
            <w:r>
              <w:rPr>
                <w:sz w:val="20"/>
                <w:szCs w:val="20"/>
              </w:rPr>
              <w:t xml:space="preserve">50,000</w:t>
            </w:r>
          </w:p>
        </w:tc>
        <w:tc>
          <w:tcPr>
            <w:tcW w:type="dxa" w:w="1300"/>
            <w:tcMar>
              <w:top w:type="dxa" w:w="60"/>
              <w:left w:type="dxa" w:w="100"/>
              <w:bottom w:type="dxa" w:w="60"/>
              <w:right w:type="dxa" w:w="100"/>
            </w:tcMar>
          </w:tcPr>
          <w:p>
            <w:pPr>
              <w:spacing w:after="0"/>
              <w:jc w:val="right"/>
            </w:pPr>
            <w:r>
              <w:rPr>
                <w:sz w:val="20"/>
                <w:szCs w:val="20"/>
              </w:rPr>
              <w:t xml:space="preserve">250,000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6. Market development, branding &amp; working capital for floor-price purchases</w:t>
            </w:r>
          </w:p>
        </w:tc>
        <w:tc>
          <w:tcPr>
            <w:tcW w:type="dxa" w:w="1300"/>
            <w:tcMar>
              <w:top w:type="dxa" w:w="60"/>
              <w:left w:type="dxa" w:w="100"/>
              <w:bottom w:type="dxa" w:w="60"/>
              <w:right w:type="dxa" w:w="100"/>
            </w:tcMar>
          </w:tcPr>
          <w:p>
            <w:pPr>
              <w:spacing w:after="0"/>
              <w:jc w:val="right"/>
            </w:pPr>
            <w:r>
              <w:rPr>
                <w:sz w:val="20"/>
                <w:szCs w:val="20"/>
              </w:rPr>
              <w:t xml:space="preserve">20,000</w:t>
            </w:r>
          </w:p>
        </w:tc>
        <w:tc>
          <w:tcPr>
            <w:tcW w:type="dxa" w:w="1300"/>
            <w:tcMar>
              <w:top w:type="dxa" w:w="60"/>
              <w:left w:type="dxa" w:w="100"/>
              <w:bottom w:type="dxa" w:w="60"/>
              <w:right w:type="dxa" w:w="100"/>
            </w:tcMar>
          </w:tcPr>
          <w:p>
            <w:pPr>
              <w:spacing w:after="0"/>
              <w:jc w:val="right"/>
            </w:pPr>
            <w:r>
              <w:rPr>
                <w:sz w:val="20"/>
                <w:szCs w:val="20"/>
              </w:rPr>
              <w:t xml:space="preserve">80,000</w:t>
            </w:r>
          </w:p>
        </w:tc>
        <w:tc>
          <w:tcPr>
            <w:tcW w:type="dxa" w:w="1300"/>
            <w:tcMar>
              <w:top w:type="dxa" w:w="60"/>
              <w:left w:type="dxa" w:w="100"/>
              <w:bottom w:type="dxa" w:w="60"/>
              <w:right w:type="dxa" w:w="100"/>
            </w:tcMar>
          </w:tcPr>
          <w:p>
            <w:pPr>
              <w:spacing w:after="0"/>
              <w:jc w:val="right"/>
            </w:pPr>
            <w:r>
              <w:rPr>
                <w:sz w:val="20"/>
                <w:szCs w:val="20"/>
              </w:rPr>
              <w:t xml:space="preserve">150,000</w:t>
            </w:r>
          </w:p>
        </w:tc>
        <w:tc>
          <w:tcPr>
            <w:tcW w:type="dxa" w:w="1300"/>
            <w:tcMar>
              <w:top w:type="dxa" w:w="60"/>
              <w:left w:type="dxa" w:w="100"/>
              <w:bottom w:type="dxa" w:w="60"/>
              <w:right w:type="dxa" w:w="100"/>
            </w:tcMar>
          </w:tcPr>
          <w:p>
            <w:pPr>
              <w:spacing w:after="0"/>
              <w:jc w:val="right"/>
            </w:pPr>
            <w:r>
              <w:rPr>
                <w:sz w:val="20"/>
                <w:szCs w:val="20"/>
              </w:rPr>
              <w:t xml:space="preserve">250,000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7. Women &amp; youth employment and micro-grants</w:t>
            </w:r>
          </w:p>
        </w:tc>
        <w:tc>
          <w:tcPr>
            <w:tcW w:type="dxa" w:w="1300"/>
            <w:tcMar>
              <w:top w:type="dxa" w:w="60"/>
              <w:left w:type="dxa" w:w="100"/>
              <w:bottom w:type="dxa" w:w="60"/>
              <w:right w:type="dxa" w:w="100"/>
            </w:tcMar>
          </w:tcPr>
          <w:p>
            <w:pPr>
              <w:spacing w:after="0"/>
              <w:jc w:val="right"/>
            </w:pPr>
            <w:r>
              <w:rPr>
                <w:sz w:val="20"/>
                <w:szCs w:val="20"/>
              </w:rPr>
              <w:t xml:space="preserve">40,000</w:t>
            </w:r>
          </w:p>
        </w:tc>
        <w:tc>
          <w:tcPr>
            <w:tcW w:type="dxa" w:w="1300"/>
            <w:tcMar>
              <w:top w:type="dxa" w:w="60"/>
              <w:left w:type="dxa" w:w="100"/>
              <w:bottom w:type="dxa" w:w="60"/>
              <w:right w:type="dxa" w:w="100"/>
            </w:tcMar>
          </w:tcPr>
          <w:p>
            <w:pPr>
              <w:spacing w:after="0"/>
              <w:jc w:val="right"/>
            </w:pPr>
            <w:r>
              <w:rPr>
                <w:sz w:val="20"/>
                <w:szCs w:val="20"/>
              </w:rPr>
              <w:t xml:space="preserve">60,000</w:t>
            </w:r>
          </w:p>
        </w:tc>
        <w:tc>
          <w:tcPr>
            <w:tcW w:type="dxa" w:w="1300"/>
            <w:tcMar>
              <w:top w:type="dxa" w:w="60"/>
              <w:left w:type="dxa" w:w="100"/>
              <w:bottom w:type="dxa" w:w="60"/>
              <w:right w:type="dxa" w:w="100"/>
            </w:tcMar>
          </w:tcPr>
          <w:p>
            <w:pPr>
              <w:spacing w:after="0"/>
              <w:jc w:val="right"/>
            </w:pPr>
            <w:r>
              <w:rPr>
                <w:sz w:val="20"/>
                <w:szCs w:val="20"/>
              </w:rPr>
              <w:t xml:space="preserve">50,000</w:t>
            </w:r>
          </w:p>
        </w:tc>
        <w:tc>
          <w:tcPr>
            <w:tcW w:type="dxa" w:w="1300"/>
            <w:tcMar>
              <w:top w:type="dxa" w:w="60"/>
              <w:left w:type="dxa" w:w="100"/>
              <w:bottom w:type="dxa" w:w="60"/>
              <w:right w:type="dxa" w:w="100"/>
            </w:tcMar>
          </w:tcPr>
          <w:p>
            <w:pPr>
              <w:spacing w:after="0"/>
              <w:jc w:val="right"/>
            </w:pPr>
            <w:r>
              <w:rPr>
                <w:sz w:val="20"/>
                <w:szCs w:val="20"/>
              </w:rPr>
              <w:t xml:space="preserve">150,000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8. Monitoring, evaluation, carbon measurement &amp; baseline/end-line surveys</w:t>
            </w:r>
          </w:p>
        </w:tc>
        <w:tc>
          <w:tcPr>
            <w:tcW w:type="dxa" w:w="1300"/>
            <w:tcMar>
              <w:top w:type="dxa" w:w="60"/>
              <w:left w:type="dxa" w:w="100"/>
              <w:bottom w:type="dxa" w:w="60"/>
              <w:right w:type="dxa" w:w="100"/>
            </w:tcMar>
          </w:tcPr>
          <w:p>
            <w:pPr>
              <w:spacing w:after="0"/>
              <w:jc w:val="right"/>
            </w:pPr>
            <w:r>
              <w:rPr>
                <w:sz w:val="20"/>
                <w:szCs w:val="20"/>
              </w:rPr>
              <w:t xml:space="preserve">60,000</w:t>
            </w:r>
          </w:p>
        </w:tc>
        <w:tc>
          <w:tcPr>
            <w:tcW w:type="dxa" w:w="1300"/>
            <w:tcMar>
              <w:top w:type="dxa" w:w="60"/>
              <w:left w:type="dxa" w:w="100"/>
              <w:bottom w:type="dxa" w:w="60"/>
              <w:right w:type="dxa" w:w="100"/>
            </w:tcMar>
          </w:tcPr>
          <w:p>
            <w:pPr>
              <w:spacing w:after="0"/>
              <w:jc w:val="right"/>
            </w:pPr>
            <w:r>
              <w:rPr>
                <w:sz w:val="20"/>
                <w:szCs w:val="20"/>
              </w:rPr>
              <w:t xml:space="preserve">40,000</w:t>
            </w:r>
          </w:p>
        </w:tc>
        <w:tc>
          <w:tcPr>
            <w:tcW w:type="dxa" w:w="1300"/>
            <w:tcMar>
              <w:top w:type="dxa" w:w="60"/>
              <w:left w:type="dxa" w:w="100"/>
              <w:bottom w:type="dxa" w:w="60"/>
              <w:right w:type="dxa" w:w="100"/>
            </w:tcMar>
          </w:tcPr>
          <w:p>
            <w:pPr>
              <w:spacing w:after="0"/>
              <w:jc w:val="right"/>
            </w:pPr>
            <w:r>
              <w:rPr>
                <w:sz w:val="20"/>
                <w:szCs w:val="20"/>
              </w:rPr>
              <w:t xml:space="preserve">50,000</w:t>
            </w:r>
          </w:p>
        </w:tc>
        <w:tc>
          <w:tcPr>
            <w:tcW w:type="dxa" w:w="1300"/>
            <w:tcMar>
              <w:top w:type="dxa" w:w="60"/>
              <w:left w:type="dxa" w:w="100"/>
              <w:bottom w:type="dxa" w:w="60"/>
              <w:right w:type="dxa" w:w="100"/>
            </w:tcMar>
          </w:tcPr>
          <w:p>
            <w:pPr>
              <w:spacing w:after="0"/>
              <w:jc w:val="right"/>
            </w:pPr>
            <w:r>
              <w:rPr>
                <w:sz w:val="20"/>
                <w:szCs w:val="20"/>
              </w:rPr>
              <w:t xml:space="preserve">150,000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9. Programme management, staff, vehicles &amp; operations</w:t>
            </w:r>
          </w:p>
        </w:tc>
        <w:tc>
          <w:tcPr>
            <w:tcW w:type="dxa" w:w="1300"/>
            <w:tcMar>
              <w:top w:type="dxa" w:w="60"/>
              <w:left w:type="dxa" w:w="100"/>
              <w:bottom w:type="dxa" w:w="60"/>
              <w:right w:type="dxa" w:w="100"/>
            </w:tcMar>
          </w:tcPr>
          <w:p>
            <w:pPr>
              <w:spacing w:after="0"/>
              <w:jc w:val="right"/>
            </w:pPr>
            <w:r>
              <w:rPr>
                <w:sz w:val="20"/>
                <w:szCs w:val="20"/>
              </w:rPr>
              <w:t xml:space="preserve">130,000</w:t>
            </w:r>
          </w:p>
        </w:tc>
        <w:tc>
          <w:tcPr>
            <w:tcW w:type="dxa" w:w="1300"/>
            <w:tcMar>
              <w:top w:type="dxa" w:w="60"/>
              <w:left w:type="dxa" w:w="100"/>
              <w:bottom w:type="dxa" w:w="60"/>
              <w:right w:type="dxa" w:w="100"/>
            </w:tcMar>
          </w:tcPr>
          <w:p>
            <w:pPr>
              <w:spacing w:after="0"/>
              <w:jc w:val="right"/>
            </w:pPr>
            <w:r>
              <w:rPr>
                <w:sz w:val="20"/>
                <w:szCs w:val="20"/>
              </w:rPr>
              <w:t xml:space="preserve">130,000</w:t>
            </w:r>
          </w:p>
        </w:tc>
        <w:tc>
          <w:tcPr>
            <w:tcW w:type="dxa" w:w="1300"/>
            <w:tcMar>
              <w:top w:type="dxa" w:w="60"/>
              <w:left w:type="dxa" w:w="100"/>
              <w:bottom w:type="dxa" w:w="60"/>
              <w:right w:type="dxa" w:w="100"/>
            </w:tcMar>
          </w:tcPr>
          <w:p>
            <w:pPr>
              <w:spacing w:after="0"/>
              <w:jc w:val="right"/>
            </w:pPr>
            <w:r>
              <w:rPr>
                <w:sz w:val="20"/>
                <w:szCs w:val="20"/>
              </w:rPr>
              <w:t xml:space="preserve">130,000</w:t>
            </w:r>
          </w:p>
        </w:tc>
        <w:tc>
          <w:tcPr>
            <w:tcW w:type="dxa" w:w="1300"/>
            <w:tcMar>
              <w:top w:type="dxa" w:w="60"/>
              <w:left w:type="dxa" w:w="100"/>
              <w:bottom w:type="dxa" w:w="60"/>
              <w:right w:type="dxa" w:w="100"/>
            </w:tcMar>
          </w:tcPr>
          <w:p>
            <w:pPr>
              <w:spacing w:after="0"/>
              <w:jc w:val="right"/>
            </w:pPr>
            <w:r>
              <w:rPr>
                <w:sz w:val="20"/>
                <w:szCs w:val="20"/>
              </w:rPr>
              <w:t xml:space="preserve">390,000</w:t>
            </w:r>
          </w:p>
        </w:tc>
      </w:tr>
      <w:tr>
        <w:trPr>
          <w:tblHeader w:val="false"/>
        </w:trPr>
        <w:tc>
          <w:tcPr>
            <w:tcW w:type="dxa" w:w="4160"/>
            <w:tcMar>
              <w:top w:type="dxa" w:w="60"/>
              <w:left w:type="dxa" w:w="100"/>
              <w:bottom w:type="dxa" w:w="60"/>
              <w:right w:type="dxa" w:w="100"/>
            </w:tcMar>
          </w:tcPr>
          <w:p>
            <w:pPr>
              <w:spacing w:after="0"/>
              <w:jc w:val="left"/>
            </w:pPr>
            <w:r>
              <w:rPr>
                <w:sz w:val="20"/>
                <w:szCs w:val="20"/>
              </w:rPr>
              <w:t xml:space="preserve">10. Audit, contingency (2%)</w:t>
            </w:r>
          </w:p>
        </w:tc>
        <w:tc>
          <w:tcPr>
            <w:tcW w:type="dxa" w:w="1300"/>
            <w:tcMar>
              <w:top w:type="dxa" w:w="60"/>
              <w:left w:type="dxa" w:w="100"/>
              <w:bottom w:type="dxa" w:w="60"/>
              <w:right w:type="dxa" w:w="100"/>
            </w:tcMar>
          </w:tcPr>
          <w:p>
            <w:pPr>
              <w:spacing w:after="0"/>
              <w:jc w:val="right"/>
            </w:pPr>
            <w:r>
              <w:rPr>
                <w:sz w:val="20"/>
                <w:szCs w:val="20"/>
              </w:rPr>
              <w:t xml:space="preserve">10,000</w:t>
            </w:r>
          </w:p>
        </w:tc>
        <w:tc>
          <w:tcPr>
            <w:tcW w:type="dxa" w:w="1300"/>
            <w:tcMar>
              <w:top w:type="dxa" w:w="60"/>
              <w:left w:type="dxa" w:w="100"/>
              <w:bottom w:type="dxa" w:w="60"/>
              <w:right w:type="dxa" w:w="100"/>
            </w:tcMar>
          </w:tcPr>
          <w:p>
            <w:pPr>
              <w:spacing w:after="0"/>
              <w:jc w:val="right"/>
            </w:pPr>
            <w:r>
              <w:rPr>
                <w:sz w:val="20"/>
                <w:szCs w:val="20"/>
              </w:rPr>
              <w:t xml:space="preserve">10,000</w:t>
            </w:r>
          </w:p>
        </w:tc>
        <w:tc>
          <w:tcPr>
            <w:tcW w:type="dxa" w:w="1300"/>
            <w:tcMar>
              <w:top w:type="dxa" w:w="60"/>
              <w:left w:type="dxa" w:w="100"/>
              <w:bottom w:type="dxa" w:w="60"/>
              <w:right w:type="dxa" w:w="100"/>
            </w:tcMar>
          </w:tcPr>
          <w:p>
            <w:pPr>
              <w:spacing w:after="0"/>
              <w:jc w:val="right"/>
            </w:pPr>
            <w:r>
              <w:rPr>
                <w:sz w:val="20"/>
                <w:szCs w:val="20"/>
              </w:rPr>
              <w:t xml:space="preserve">10,000</w:t>
            </w:r>
          </w:p>
        </w:tc>
        <w:tc>
          <w:tcPr>
            <w:tcW w:type="dxa" w:w="1300"/>
            <w:tcMar>
              <w:top w:type="dxa" w:w="60"/>
              <w:left w:type="dxa" w:w="100"/>
              <w:bottom w:type="dxa" w:w="60"/>
              <w:right w:type="dxa" w:w="100"/>
            </w:tcMar>
          </w:tcPr>
          <w:p>
            <w:pPr>
              <w:spacing w:after="0"/>
              <w:jc w:val="right"/>
            </w:pPr>
            <w:r>
              <w:rPr>
                <w:sz w:val="20"/>
                <w:szCs w:val="20"/>
              </w:rPr>
              <w:t xml:space="preserve">30,000</w:t>
            </w:r>
          </w:p>
        </w:tc>
      </w:tr>
      <w:tr>
        <w:trPr>
          <w:tblHeader w:val="false"/>
        </w:trPr>
        <w:tc>
          <w:tcPr>
            <w:tcW w:type="dxa" w:w="4160"/>
            <w:shd w:fill="E8F1EC" w:color="auto" w:val="clear"/>
            <w:tcMar>
              <w:top w:type="dxa" w:w="60"/>
              <w:left w:type="dxa" w:w="100"/>
              <w:bottom w:type="dxa" w:w="60"/>
              <w:right w:type="dxa" w:w="100"/>
            </w:tcMar>
          </w:tcPr>
          <w:p>
            <w:pPr>
              <w:spacing w:after="0"/>
              <w:jc w:val="left"/>
            </w:pPr>
            <w:r>
              <w:rPr>
                <w:b/>
                <w:bCs/>
                <w:sz w:val="20"/>
                <w:szCs w:val="20"/>
              </w:rPr>
              <w:t xml:space="preserve">TOTAL</w:t>
            </w:r>
          </w:p>
        </w:tc>
        <w:tc>
          <w:tcPr>
            <w:tcW w:type="dxa" w:w="1300"/>
            <w:shd w:fill="E8F1EC" w:color="auto" w:val="clear"/>
            <w:tcMar>
              <w:top w:type="dxa" w:w="60"/>
              <w:left w:type="dxa" w:w="100"/>
              <w:bottom w:type="dxa" w:w="60"/>
              <w:right w:type="dxa" w:w="100"/>
            </w:tcMar>
          </w:tcPr>
          <w:p>
            <w:pPr>
              <w:spacing w:after="0"/>
              <w:jc w:val="right"/>
            </w:pPr>
            <w:r>
              <w:rPr>
                <w:b/>
                <w:bCs/>
                <w:sz w:val="20"/>
                <w:szCs w:val="20"/>
              </w:rPr>
              <w:t xml:space="preserve">960,000</w:t>
            </w:r>
          </w:p>
        </w:tc>
        <w:tc>
          <w:tcPr>
            <w:tcW w:type="dxa" w:w="1300"/>
            <w:shd w:fill="E8F1EC" w:color="auto" w:val="clear"/>
            <w:tcMar>
              <w:top w:type="dxa" w:w="60"/>
              <w:left w:type="dxa" w:w="100"/>
              <w:bottom w:type="dxa" w:w="60"/>
              <w:right w:type="dxa" w:w="100"/>
            </w:tcMar>
          </w:tcPr>
          <w:p>
            <w:pPr>
              <w:spacing w:after="0"/>
              <w:jc w:val="right"/>
            </w:pPr>
            <w:r>
              <w:rPr>
                <w:b/>
                <w:bCs/>
                <w:sz w:val="20"/>
                <w:szCs w:val="20"/>
              </w:rPr>
              <w:t xml:space="preserve">1,390,000</w:t>
            </w:r>
          </w:p>
        </w:tc>
        <w:tc>
          <w:tcPr>
            <w:tcW w:type="dxa" w:w="1300"/>
            <w:shd w:fill="E8F1EC" w:color="auto" w:val="clear"/>
            <w:tcMar>
              <w:top w:type="dxa" w:w="60"/>
              <w:left w:type="dxa" w:w="100"/>
              <w:bottom w:type="dxa" w:w="60"/>
              <w:right w:type="dxa" w:w="100"/>
            </w:tcMar>
          </w:tcPr>
          <w:p>
            <w:pPr>
              <w:spacing w:after="0"/>
              <w:jc w:val="right"/>
            </w:pPr>
            <w:r>
              <w:rPr>
                <w:b/>
                <w:bCs/>
                <w:sz w:val="20"/>
                <w:szCs w:val="20"/>
              </w:rPr>
              <w:t xml:space="preserve">750,000</w:t>
            </w:r>
          </w:p>
        </w:tc>
        <w:tc>
          <w:tcPr>
            <w:tcW w:type="dxa" w:w="1300"/>
            <w:shd w:fill="E8F1EC" w:color="auto" w:val="clear"/>
            <w:tcMar>
              <w:top w:type="dxa" w:w="60"/>
              <w:left w:type="dxa" w:w="100"/>
              <w:bottom w:type="dxa" w:w="60"/>
              <w:right w:type="dxa" w:w="100"/>
            </w:tcMar>
          </w:tcPr>
          <w:p>
            <w:pPr>
              <w:spacing w:after="0"/>
              <w:jc w:val="right"/>
            </w:pPr>
            <w:r>
              <w:rPr>
                <w:b/>
                <w:bCs/>
                <w:sz w:val="20"/>
                <w:szCs w:val="20"/>
              </w:rPr>
              <w:t xml:space="preserve">3,100,000</w:t>
            </w:r>
          </w:p>
        </w:tc>
      </w:tr>
    </w:tbl>
    <w:p>
      <w:pPr>
        <w:spacing w:after="120" w:line="276"/>
        <w:jc w:val="left"/>
      </w:pPr>
      <w:r>
        <w:rPr>
          <w:sz w:val="22"/>
          <w:szCs w:val="22"/>
        </w:rPr>
        <w:t xml:space="preserve"/>
      </w:r>
    </w:p>
    <w:p>
      <w:pPr>
        <w:pStyle w:val="Heading2"/>
        <w:spacing w:after="120" w:before="240"/>
      </w:pPr>
      <w:r>
        <w:rPr>
          <w:b/>
          <w:bCs/>
          <w:color w:val="1F5C3A"/>
          <w:sz w:val="25"/>
          <w:szCs w:val="25"/>
        </w:rPr>
        <w:t xml:space="preserve">7.1 Proposed financing structure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2000"/>
        <w:gridCol w:w="3000"/>
      </w:tblGrid>
      <w:tr>
        <w:trPr>
          <w:tblHeader/>
        </w:trPr>
        <w:tc>
          <w:tcPr>
            <w:tcW w:type="dxa" w:w="4360"/>
            <w:shd w:fill="1F5C3A" w:color="auto" w:val="clear"/>
            <w:tcMar>
              <w:top w:type="dxa" w:w="60"/>
              <w:left w:type="dxa" w:w="100"/>
              <w:bottom w:type="dxa" w:w="60"/>
              <w:right w:type="dxa" w:w="100"/>
            </w:tcMar>
          </w:tcPr>
          <w:p>
            <w:pPr>
              <w:spacing w:after="0"/>
              <w:jc w:val="left"/>
            </w:pPr>
            <w:r>
              <w:rPr>
                <w:b/>
                <w:bCs/>
                <w:color w:val="FFFFFF"/>
                <w:sz w:val="20"/>
                <w:szCs w:val="20"/>
              </w:rPr>
              <w:t xml:space="preserve">Source</w:t>
            </w:r>
          </w:p>
        </w:tc>
        <w:tc>
          <w:tcPr>
            <w:tcW w:type="dxa" w:w="2000"/>
            <w:shd w:fill="1F5C3A" w:color="auto" w:val="clear"/>
            <w:tcMar>
              <w:top w:type="dxa" w:w="60"/>
              <w:left w:type="dxa" w:w="100"/>
              <w:bottom w:type="dxa" w:w="60"/>
              <w:right w:type="dxa" w:w="100"/>
            </w:tcMar>
          </w:tcPr>
          <w:p>
            <w:pPr>
              <w:spacing w:after="0"/>
              <w:jc w:val="left"/>
            </w:pPr>
            <w:r>
              <w:rPr>
                <w:b/>
                <w:bCs/>
                <w:color w:val="FFFFFF"/>
                <w:sz w:val="20"/>
                <w:szCs w:val="20"/>
              </w:rPr>
              <w:t xml:space="preserve">Amount (US$)</w:t>
            </w:r>
          </w:p>
        </w:tc>
        <w:tc>
          <w:tcPr>
            <w:tcW w:type="dxa" w:w="3000"/>
            <w:shd w:fill="1F5C3A" w:color="auto" w:val="clear"/>
            <w:tcMar>
              <w:top w:type="dxa" w:w="60"/>
              <w:left w:type="dxa" w:w="100"/>
              <w:bottom w:type="dxa" w:w="60"/>
              <w:right w:type="dxa" w:w="100"/>
            </w:tcMar>
          </w:tcPr>
          <w:p>
            <w:pPr>
              <w:spacing w:after="0"/>
              <w:jc w:val="left"/>
            </w:pPr>
            <w:r>
              <w:rPr>
                <w:b/>
                <w:bCs/>
                <w:color w:val="FFFFFF"/>
                <w:sz w:val="20"/>
                <w:szCs w:val="20"/>
              </w:rPr>
              <w:t xml:space="preserve">Form</w:t>
            </w:r>
          </w:p>
        </w:tc>
      </w:tr>
      <w:tr>
        <w:trPr>
          <w:tblHeader w:val="false"/>
        </w:trPr>
        <w:tc>
          <w:tcPr>
            <w:tcW w:type="dxa" w:w="4360"/>
            <w:tcMar>
              <w:top w:type="dxa" w:w="60"/>
              <w:left w:type="dxa" w:w="100"/>
              <w:bottom w:type="dxa" w:w="60"/>
              <w:right w:type="dxa" w:w="100"/>
            </w:tcMar>
          </w:tcPr>
          <w:p>
            <w:pPr>
              <w:spacing w:after="0"/>
              <w:jc w:val="left"/>
            </w:pPr>
            <w:r>
              <w:rPr>
                <w:sz w:val="20"/>
                <w:szCs w:val="20"/>
              </w:rPr>
              <w:t xml:space="preserve">International grant (GCF/FAO/Adaptation Fund/IFAD channel)</w:t>
            </w:r>
          </w:p>
        </w:tc>
        <w:tc>
          <w:tcPr>
            <w:tcW w:type="dxa" w:w="2000"/>
            <w:tcMar>
              <w:top w:type="dxa" w:w="60"/>
              <w:left w:type="dxa" w:w="100"/>
              <w:bottom w:type="dxa" w:w="60"/>
              <w:right w:type="dxa" w:w="100"/>
            </w:tcMar>
          </w:tcPr>
          <w:p>
            <w:pPr>
              <w:spacing w:after="0"/>
              <w:jc w:val="right"/>
            </w:pPr>
            <w:r>
              <w:rPr>
                <w:sz w:val="20"/>
                <w:szCs w:val="20"/>
              </w:rPr>
              <w:t xml:space="preserve">2,100,000</w:t>
            </w:r>
          </w:p>
        </w:tc>
        <w:tc>
          <w:tcPr>
            <w:tcW w:type="dxa" w:w="3000"/>
            <w:tcMar>
              <w:top w:type="dxa" w:w="60"/>
              <w:left w:type="dxa" w:w="100"/>
              <w:bottom w:type="dxa" w:w="60"/>
              <w:right w:type="dxa" w:w="100"/>
            </w:tcMar>
          </w:tcPr>
          <w:p>
            <w:pPr>
              <w:spacing w:after="0"/>
              <w:jc w:val="left"/>
            </w:pPr>
            <w:r>
              <w:rPr>
                <w:sz w:val="20"/>
                <w:szCs w:val="20"/>
              </w:rPr>
              <w:t xml:space="preserve">Grant, 68%</w:t>
            </w:r>
          </w:p>
        </w:tc>
      </w:tr>
      <w:tr>
        <w:trPr>
          <w:tblHeader w:val="false"/>
        </w:trPr>
        <w:tc>
          <w:tcPr>
            <w:tcW w:type="dxa" w:w="4360"/>
            <w:tcMar>
              <w:top w:type="dxa" w:w="60"/>
              <w:left w:type="dxa" w:w="100"/>
              <w:bottom w:type="dxa" w:w="60"/>
              <w:right w:type="dxa" w:w="100"/>
            </w:tcMar>
          </w:tcPr>
          <w:p>
            <w:pPr>
              <w:spacing w:after="0"/>
              <w:jc w:val="left"/>
            </w:pPr>
            <w:r>
              <w:rPr>
                <w:sz w:val="20"/>
                <w:szCs w:val="20"/>
              </w:rPr>
              <w:t xml:space="preserve">Government of Jamaica (RADA extension, land for centre, ABIS data)</w:t>
            </w:r>
          </w:p>
        </w:tc>
        <w:tc>
          <w:tcPr>
            <w:tcW w:type="dxa" w:w="2000"/>
            <w:tcMar>
              <w:top w:type="dxa" w:w="60"/>
              <w:left w:type="dxa" w:w="100"/>
              <w:bottom w:type="dxa" w:w="60"/>
              <w:right w:type="dxa" w:w="100"/>
            </w:tcMar>
          </w:tcPr>
          <w:p>
            <w:pPr>
              <w:spacing w:after="0"/>
              <w:jc w:val="right"/>
            </w:pPr>
            <w:r>
              <w:rPr>
                <w:sz w:val="20"/>
                <w:szCs w:val="20"/>
              </w:rPr>
              <w:t xml:space="preserve">300,000</w:t>
            </w:r>
          </w:p>
        </w:tc>
        <w:tc>
          <w:tcPr>
            <w:tcW w:type="dxa" w:w="3000"/>
            <w:tcMar>
              <w:top w:type="dxa" w:w="60"/>
              <w:left w:type="dxa" w:w="100"/>
              <w:bottom w:type="dxa" w:w="60"/>
              <w:right w:type="dxa" w:w="100"/>
            </w:tcMar>
          </w:tcPr>
          <w:p>
            <w:pPr>
              <w:spacing w:after="0"/>
              <w:jc w:val="left"/>
            </w:pPr>
            <w:r>
              <w:rPr>
                <w:sz w:val="20"/>
                <w:szCs w:val="20"/>
              </w:rPr>
              <w:t xml:space="preserve">In kind</w:t>
            </w:r>
          </w:p>
        </w:tc>
      </w:tr>
      <w:tr>
        <w:trPr>
          <w:tblHeader w:val="false"/>
        </w:trPr>
        <w:tc>
          <w:tcPr>
            <w:tcW w:type="dxa" w:w="4360"/>
            <w:tcMar>
              <w:top w:type="dxa" w:w="60"/>
              <w:left w:type="dxa" w:w="100"/>
              <w:bottom w:type="dxa" w:w="60"/>
              <w:right w:type="dxa" w:w="100"/>
            </w:tcMar>
          </w:tcPr>
          <w:p>
            <w:pPr>
              <w:spacing w:after="0"/>
              <w:jc w:val="left"/>
            </w:pPr>
            <w:r>
              <w:rPr>
                <w:sz w:val="20"/>
                <w:szCs w:val="20"/>
              </w:rPr>
              <w:t xml:space="preserve">CRM Jamaica Group — 74-acre Shrewsbury leasehold (nursery, demo farm, first plantings)</w:t>
            </w:r>
          </w:p>
        </w:tc>
        <w:tc>
          <w:tcPr>
            <w:tcW w:type="dxa" w:w="2000"/>
            <w:tcMar>
              <w:top w:type="dxa" w:w="60"/>
              <w:left w:type="dxa" w:w="100"/>
              <w:bottom w:type="dxa" w:w="60"/>
              <w:right w:type="dxa" w:w="100"/>
            </w:tcMar>
          </w:tcPr>
          <w:p>
            <w:pPr>
              <w:spacing w:after="0"/>
              <w:jc w:val="right"/>
            </w:pPr>
            <w:r>
              <w:rPr>
                <w:sz w:val="20"/>
                <w:szCs w:val="20"/>
              </w:rPr>
              <w:t xml:space="preserve">250,000</w:t>
            </w:r>
          </w:p>
        </w:tc>
        <w:tc>
          <w:tcPr>
            <w:tcW w:type="dxa" w:w="3000"/>
            <w:tcMar>
              <w:top w:type="dxa" w:w="60"/>
              <w:left w:type="dxa" w:w="100"/>
              <w:bottom w:type="dxa" w:w="60"/>
              <w:right w:type="dxa" w:w="100"/>
            </w:tcMar>
          </w:tcPr>
          <w:p>
            <w:pPr>
              <w:spacing w:after="0"/>
              <w:jc w:val="left"/>
            </w:pPr>
            <w:r>
              <w:rPr>
                <w:sz w:val="20"/>
                <w:szCs w:val="20"/>
              </w:rPr>
              <w:t xml:space="preserve">In kind (leasehold assignment)</w:t>
            </w:r>
          </w:p>
        </w:tc>
      </w:tr>
      <w:tr>
        <w:trPr>
          <w:tblHeader w:val="false"/>
        </w:trPr>
        <w:tc>
          <w:tcPr>
            <w:tcW w:type="dxa" w:w="4360"/>
            <w:tcMar>
              <w:top w:type="dxa" w:w="60"/>
              <w:left w:type="dxa" w:w="100"/>
              <w:bottom w:type="dxa" w:w="60"/>
              <w:right w:type="dxa" w:w="100"/>
            </w:tcMar>
          </w:tcPr>
          <w:p>
            <w:pPr>
              <w:spacing w:after="0"/>
              <w:jc w:val="left"/>
            </w:pPr>
            <w:r>
              <w:rPr>
                <w:sz w:val="20"/>
                <w:szCs w:val="20"/>
              </w:rPr>
              <w:t xml:space="preserve">CRM Jamaica Group (digital systems, market platforms, office)</w:t>
            </w:r>
          </w:p>
        </w:tc>
        <w:tc>
          <w:tcPr>
            <w:tcW w:type="dxa" w:w="2000"/>
            <w:tcMar>
              <w:top w:type="dxa" w:w="60"/>
              <w:left w:type="dxa" w:w="100"/>
              <w:bottom w:type="dxa" w:w="60"/>
              <w:right w:type="dxa" w:w="100"/>
            </w:tcMar>
          </w:tcPr>
          <w:p>
            <w:pPr>
              <w:spacing w:after="0"/>
              <w:jc w:val="right"/>
            </w:pPr>
            <w:r>
              <w:rPr>
                <w:sz w:val="20"/>
                <w:szCs w:val="20"/>
              </w:rPr>
              <w:t xml:space="preserve">200,000</w:t>
            </w:r>
          </w:p>
        </w:tc>
        <w:tc>
          <w:tcPr>
            <w:tcW w:type="dxa" w:w="3000"/>
            <w:tcMar>
              <w:top w:type="dxa" w:w="60"/>
              <w:left w:type="dxa" w:w="100"/>
              <w:bottom w:type="dxa" w:w="60"/>
              <w:right w:type="dxa" w:w="100"/>
            </w:tcMar>
          </w:tcPr>
          <w:p>
            <w:pPr>
              <w:spacing w:after="0"/>
              <w:jc w:val="left"/>
            </w:pPr>
            <w:r>
              <w:rPr>
                <w:sz w:val="20"/>
                <w:szCs w:val="20"/>
              </w:rPr>
              <w:t xml:space="preserve">In kind</w:t>
            </w:r>
          </w:p>
        </w:tc>
      </w:tr>
      <w:tr>
        <w:trPr>
          <w:tblHeader w:val="false"/>
        </w:trPr>
        <w:tc>
          <w:tcPr>
            <w:tcW w:type="dxa" w:w="4360"/>
            <w:tcMar>
              <w:top w:type="dxa" w:w="60"/>
              <w:left w:type="dxa" w:w="100"/>
              <w:bottom w:type="dxa" w:w="60"/>
              <w:right w:type="dxa" w:w="100"/>
            </w:tcMar>
          </w:tcPr>
          <w:p>
            <w:pPr>
              <w:spacing w:after="0"/>
              <w:jc w:val="left"/>
            </w:pPr>
            <w:r>
              <w:rPr>
                <w:sz w:val="20"/>
                <w:szCs w:val="20"/>
              </w:rPr>
              <w:t xml:space="preserve">Participating farmers (labour, land)</w:t>
            </w:r>
          </w:p>
        </w:tc>
        <w:tc>
          <w:tcPr>
            <w:tcW w:type="dxa" w:w="2000"/>
            <w:tcMar>
              <w:top w:type="dxa" w:w="60"/>
              <w:left w:type="dxa" w:w="100"/>
              <w:bottom w:type="dxa" w:w="60"/>
              <w:right w:type="dxa" w:w="100"/>
            </w:tcMar>
          </w:tcPr>
          <w:p>
            <w:pPr>
              <w:spacing w:after="0"/>
              <w:jc w:val="right"/>
            </w:pPr>
            <w:r>
              <w:rPr>
                <w:sz w:val="20"/>
                <w:szCs w:val="20"/>
              </w:rPr>
              <w:t xml:space="preserve">150,000</w:t>
            </w:r>
          </w:p>
        </w:tc>
        <w:tc>
          <w:tcPr>
            <w:tcW w:type="dxa" w:w="3000"/>
            <w:tcMar>
              <w:top w:type="dxa" w:w="60"/>
              <w:left w:type="dxa" w:w="100"/>
              <w:bottom w:type="dxa" w:w="60"/>
              <w:right w:type="dxa" w:w="100"/>
            </w:tcMar>
          </w:tcPr>
          <w:p>
            <w:pPr>
              <w:spacing w:after="0"/>
              <w:jc w:val="left"/>
            </w:pPr>
            <w:r>
              <w:rPr>
                <w:sz w:val="20"/>
                <w:szCs w:val="20"/>
              </w:rPr>
              <w:t xml:space="preserve">In kind</w:t>
            </w:r>
          </w:p>
        </w:tc>
      </w:tr>
      <w:tr>
        <w:trPr>
          <w:tblHeader w:val="false"/>
        </w:trPr>
        <w:tc>
          <w:tcPr>
            <w:tcW w:type="dxa" w:w="4360"/>
            <w:tcMar>
              <w:top w:type="dxa" w:w="60"/>
              <w:left w:type="dxa" w:w="100"/>
              <w:bottom w:type="dxa" w:w="60"/>
              <w:right w:type="dxa" w:w="100"/>
            </w:tcMar>
          </w:tcPr>
          <w:p>
            <w:pPr>
              <w:spacing w:after="0"/>
              <w:jc w:val="left"/>
            </w:pPr>
            <w:r>
              <w:rPr>
                <w:sz w:val="20"/>
                <w:szCs w:val="20"/>
              </w:rPr>
              <w:t xml:space="preserve">Private / diaspora / corporate co-financing for processing centre</w:t>
            </w:r>
          </w:p>
        </w:tc>
        <w:tc>
          <w:tcPr>
            <w:tcW w:type="dxa" w:w="2000"/>
            <w:tcMar>
              <w:top w:type="dxa" w:w="60"/>
              <w:left w:type="dxa" w:w="100"/>
              <w:bottom w:type="dxa" w:w="60"/>
              <w:right w:type="dxa" w:w="100"/>
            </w:tcMar>
          </w:tcPr>
          <w:p>
            <w:pPr>
              <w:spacing w:after="0"/>
              <w:jc w:val="right"/>
            </w:pPr>
            <w:r>
              <w:rPr>
                <w:sz w:val="20"/>
                <w:szCs w:val="20"/>
              </w:rPr>
              <w:t xml:space="preserve">100,000</w:t>
            </w:r>
          </w:p>
        </w:tc>
        <w:tc>
          <w:tcPr>
            <w:tcW w:type="dxa" w:w="3000"/>
            <w:tcMar>
              <w:top w:type="dxa" w:w="60"/>
              <w:left w:type="dxa" w:w="100"/>
              <w:bottom w:type="dxa" w:w="60"/>
              <w:right w:type="dxa" w:w="100"/>
            </w:tcMar>
          </w:tcPr>
          <w:p>
            <w:pPr>
              <w:spacing w:after="0"/>
              <w:jc w:val="left"/>
            </w:pPr>
            <w:r>
              <w:rPr>
                <w:sz w:val="20"/>
                <w:szCs w:val="20"/>
              </w:rPr>
              <w:t xml:space="preserve">Cash / equipment</w:t>
            </w:r>
          </w:p>
        </w:tc>
      </w:tr>
      <w:tr>
        <w:trPr>
          <w:tblHeader w:val="false"/>
        </w:trPr>
        <w:tc>
          <w:tcPr>
            <w:tcW w:type="dxa" w:w="4360"/>
            <w:shd w:fill="E8F1EC" w:color="auto" w:val="clear"/>
            <w:tcMar>
              <w:top w:type="dxa" w:w="60"/>
              <w:left w:type="dxa" w:w="100"/>
              <w:bottom w:type="dxa" w:w="60"/>
              <w:right w:type="dxa" w:w="100"/>
            </w:tcMar>
          </w:tcPr>
          <w:p>
            <w:pPr>
              <w:spacing w:after="0"/>
              <w:jc w:val="left"/>
            </w:pPr>
            <w:r>
              <w:rPr>
                <w:b/>
                <w:bCs/>
                <w:sz w:val="20"/>
                <w:szCs w:val="20"/>
              </w:rPr>
              <w:t xml:space="preserve">TOTAL</w:t>
            </w:r>
          </w:p>
        </w:tc>
        <w:tc>
          <w:tcPr>
            <w:tcW w:type="dxa" w:w="2000"/>
            <w:shd w:fill="E8F1EC" w:color="auto" w:val="clear"/>
            <w:tcMar>
              <w:top w:type="dxa" w:w="60"/>
              <w:left w:type="dxa" w:w="100"/>
              <w:bottom w:type="dxa" w:w="60"/>
              <w:right w:type="dxa" w:w="100"/>
            </w:tcMar>
          </w:tcPr>
          <w:p>
            <w:pPr>
              <w:spacing w:after="0"/>
              <w:jc w:val="right"/>
            </w:pPr>
            <w:r>
              <w:rPr>
                <w:b/>
                <w:bCs/>
                <w:sz w:val="20"/>
                <w:szCs w:val="20"/>
              </w:rPr>
              <w:t xml:space="preserve">3,100,000</w:t>
            </w:r>
          </w:p>
        </w:tc>
        <w:tc>
          <w:tcPr>
            <w:tcW w:type="dxa" w:w="3000"/>
            <w:shd w:fill="E8F1EC" w:color="auto" w:val="clear"/>
            <w:tcMar>
              <w:top w:type="dxa" w:w="60"/>
              <w:left w:type="dxa" w:w="100"/>
              <w:bottom w:type="dxa" w:w="60"/>
              <w:right w:type="dxa" w:w="100"/>
            </w:tcMar>
          </w:tcPr>
          <w:p>
            <w:pPr>
              <w:spacing w:after="0"/>
              <w:jc w:val="left"/>
            </w:pPr>
            <w:r>
              <w:rPr>
                <w:b/>
                <w:bCs/>
                <w:sz w:val="20"/>
                <w:szCs w:val="20"/>
              </w:rPr>
              <w:t xml:space="preserve"/>
            </w:r>
          </w:p>
        </w:tc>
      </w:tr>
    </w:tbl>
    <w:p>
      <w:pPr>
        <w:spacing w:after="120" w:line="276"/>
        <w:jc w:val="left"/>
      </w:pPr>
      <w:r>
        <w:rPr>
          <w:sz w:val="22"/>
          <w:szCs w:val="22"/>
        </w:rPr>
        <w:t xml:space="preserve"/>
      </w:r>
    </w:p>
    <w:p>
      <w:pPr>
        <w:spacing w:after="120" w:line="276"/>
        <w:jc w:val="left"/>
      </w:pPr>
      <w:r>
        <w:rPr>
          <w:i/>
          <w:iCs/>
          <w:color w:val="555555"/>
          <w:sz w:val="20"/>
          <w:szCs w:val="20"/>
        </w:rPr>
        <w:t xml:space="preserve">All figures are indicative and will be refined during design with the funder's cost norms. Unit costs are based on Jamaican nursery, input and construction prices in 2026 and will be validated with RADA and suppliers during the inception phase.</w:t>
      </w:r>
    </w:p>
    <w:p>
      <w:pPr>
        <w:pStyle w:val="Heading1"/>
        <w:spacing w:after="160" w:before="360"/>
      </w:pPr>
      <w:r>
        <w:rPr>
          <w:b/>
          <w:bCs/>
          <w:color w:val="1F5C3A"/>
          <w:sz w:val="30"/>
          <w:szCs w:val="30"/>
        </w:rPr>
        <w:t xml:space="preserve">8. Sustainability and Exit Strategy</w:t>
      </w:r>
    </w:p>
    <w:p>
      <w:pPr>
        <w:spacing w:after="120" w:line="276"/>
        <w:jc w:val="left"/>
      </w:pPr>
      <w:r>
        <w:rPr>
          <w:sz w:val="22"/>
          <w:szCs w:val="22"/>
        </w:rPr>
        <w:t xml:space="preserve">The programme is designed so that grant funding establishes assets and institutions that continue without it:</w:t>
      </w:r>
    </w:p>
    <w:p>
      <w:pPr>
        <w:pStyle w:val="ListParagraph"/>
        <w:numPr>
          <w:ilvl w:val="0"/>
          <w:numId w:val="2"/>
        </w:numPr>
        <w:spacing w:after="80" w:line="264"/>
      </w:pPr>
      <w:r>
        <w:rPr>
          <w:b/>
          <w:bCs/>
          <w:sz w:val="22"/>
          <w:szCs w:val="22"/>
        </w:rPr>
        <w:t xml:space="preserve">Trees are farmer-owned. </w:t>
      </w:r>
      <w:r>
        <w:rPr>
          <w:sz w:val="22"/>
          <w:szCs w:val="22"/>
        </w:rPr>
        <w:t xml:space="preserve">Once established, breadfruit and other perennials yield for decades with minimal inputs; the household, not the programme, captures the value.</w:t>
      </w:r>
    </w:p>
    <w:p>
      <w:pPr>
        <w:pStyle w:val="ListParagraph"/>
        <w:numPr>
          <w:ilvl w:val="0"/>
          <w:numId w:val="2"/>
        </w:numPr>
        <w:spacing w:after="80" w:line="264"/>
      </w:pPr>
      <w:r>
        <w:rPr>
          <w:b/>
          <w:bCs/>
          <w:sz w:val="22"/>
          <w:szCs w:val="22"/>
        </w:rPr>
        <w:t xml:space="preserve">The processing centre is a business. </w:t>
      </w:r>
      <w:r>
        <w:rPr>
          <w:sz w:val="22"/>
          <w:szCs w:val="22"/>
        </w:rPr>
        <w:t xml:space="preserve">From Year 3 it earns revenue from flour, chips and frozen product. It transitions to ownership by the Producers' Association (majority) with a management contract, and reinvests a levy per kilogram into the nursery and extension fund.</w:t>
      </w:r>
    </w:p>
    <w:p>
      <w:pPr>
        <w:pStyle w:val="ListParagraph"/>
        <w:numPr>
          <w:ilvl w:val="0"/>
          <w:numId w:val="2"/>
        </w:numPr>
        <w:spacing w:after="80" w:line="264"/>
      </w:pPr>
      <w:r>
        <w:rPr>
          <w:b/>
          <w:bCs/>
          <w:sz w:val="22"/>
          <w:szCs w:val="22"/>
        </w:rPr>
        <w:t xml:space="preserve">The Producers' Association is a legal entity </w:t>
      </w:r>
      <w:r>
        <w:rPr>
          <w:sz w:val="22"/>
          <w:szCs w:val="22"/>
        </w:rPr>
        <w:t xml:space="preserve">able to contract, borrow and hold input stores; it inherits the farmer register and market contracts.</w:t>
      </w:r>
    </w:p>
    <w:p>
      <w:pPr>
        <w:pStyle w:val="ListParagraph"/>
        <w:numPr>
          <w:ilvl w:val="0"/>
          <w:numId w:val="2"/>
        </w:numPr>
        <w:spacing w:after="80" w:line="264"/>
      </w:pPr>
      <w:r>
        <w:rPr>
          <w:b/>
          <w:bCs/>
          <w:sz w:val="22"/>
          <w:szCs w:val="22"/>
        </w:rPr>
        <w:t xml:space="preserve">Carbon and ecosystem-service revenue </w:t>
      </w:r>
      <w:r>
        <w:rPr>
          <w:sz w:val="22"/>
          <w:szCs w:val="22"/>
        </w:rPr>
        <w:t xml:space="preserve">from verified sequestration can be channelled back into replanting and expansion from Year 5, giving the model a second income stream independent of produce prices.</w:t>
      </w:r>
    </w:p>
    <w:p>
      <w:pPr>
        <w:pStyle w:val="ListParagraph"/>
        <w:numPr>
          <w:ilvl w:val="0"/>
          <w:numId w:val="2"/>
        </w:numPr>
        <w:spacing w:after="80" w:line="264"/>
      </w:pPr>
      <w:r>
        <w:rPr>
          <w:b/>
          <w:bCs/>
          <w:sz w:val="22"/>
          <w:szCs w:val="22"/>
        </w:rPr>
        <w:t xml:space="preserve">Government adoption. </w:t>
      </w:r>
      <w:r>
        <w:rPr>
          <w:sz w:val="22"/>
          <w:szCs w:val="22"/>
        </w:rPr>
        <w:t xml:space="preserve">Delivery through RADA and alignment with ADAPT Jamaica position the model for national scale-up in Phase II under government programming.</w:t>
      </w:r>
    </w:p>
    <w:p>
      <w:pPr>
        <w:pStyle w:val="Heading1"/>
        <w:spacing w:after="160" w:before="360"/>
      </w:pPr>
      <w:r>
        <w:rPr>
          <w:b/>
          <w:bCs/>
          <w:color w:val="1F5C3A"/>
          <w:sz w:val="30"/>
          <w:szCs w:val="30"/>
        </w:rPr>
        <w:t xml:space="preserve">9. Key Risks and Mitigation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200"/>
        <w:gridCol w:w="5360"/>
      </w:tblGrid>
      <w:tr>
        <w:trPr>
          <w:tblHeader/>
        </w:trPr>
        <w:tc>
          <w:tcPr>
            <w:tcW w:type="dxa" w:w="2800"/>
            <w:shd w:fill="1F5C3A" w:color="auto" w:val="clear"/>
            <w:tcMar>
              <w:top w:type="dxa" w:w="60"/>
              <w:left w:type="dxa" w:w="100"/>
              <w:bottom w:type="dxa" w:w="60"/>
              <w:right w:type="dxa" w:w="100"/>
            </w:tcMar>
          </w:tcPr>
          <w:p>
            <w:pPr>
              <w:spacing w:after="0"/>
              <w:jc w:val="left"/>
            </w:pPr>
            <w:r>
              <w:rPr>
                <w:b/>
                <w:bCs/>
                <w:color w:val="FFFFFF"/>
                <w:sz w:val="20"/>
                <w:szCs w:val="20"/>
              </w:rPr>
              <w:t xml:space="preserve">Risk</w:t>
            </w:r>
          </w:p>
        </w:tc>
        <w:tc>
          <w:tcPr>
            <w:tcW w:type="dxa" w:w="1200"/>
            <w:shd w:fill="1F5C3A" w:color="auto" w:val="clear"/>
            <w:tcMar>
              <w:top w:type="dxa" w:w="60"/>
              <w:left w:type="dxa" w:w="100"/>
              <w:bottom w:type="dxa" w:w="60"/>
              <w:right w:type="dxa" w:w="100"/>
            </w:tcMar>
          </w:tcPr>
          <w:p>
            <w:pPr>
              <w:spacing w:after="0"/>
              <w:jc w:val="left"/>
            </w:pPr>
            <w:r>
              <w:rPr>
                <w:b/>
                <w:bCs/>
                <w:color w:val="FFFFFF"/>
                <w:sz w:val="20"/>
                <w:szCs w:val="20"/>
              </w:rPr>
              <w:t xml:space="preserve">Level</w:t>
            </w:r>
          </w:p>
        </w:tc>
        <w:tc>
          <w:tcPr>
            <w:tcW w:type="dxa" w:w="5360"/>
            <w:shd w:fill="1F5C3A" w:color="auto" w:val="clear"/>
            <w:tcMar>
              <w:top w:type="dxa" w:w="60"/>
              <w:left w:type="dxa" w:w="100"/>
              <w:bottom w:type="dxa" w:w="60"/>
              <w:right w:type="dxa" w:w="100"/>
            </w:tcMar>
          </w:tcPr>
          <w:p>
            <w:pPr>
              <w:spacing w:after="0"/>
              <w:jc w:val="left"/>
            </w:pPr>
            <w:r>
              <w:rPr>
                <w:b/>
                <w:bCs/>
                <w:color w:val="FFFFFF"/>
                <w:sz w:val="20"/>
                <w:szCs w:val="20"/>
              </w:rPr>
              <w:t xml:space="preserve">Mitigation</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Another major hurricane before trees mature</w:t>
            </w:r>
          </w:p>
        </w:tc>
        <w:tc>
          <w:tcPr>
            <w:tcW w:type="dxa" w:w="1200"/>
            <w:tcMar>
              <w:top w:type="dxa" w:w="60"/>
              <w:left w:type="dxa" w:w="100"/>
              <w:bottom w:type="dxa" w:w="60"/>
              <w:right w:type="dxa" w:w="100"/>
            </w:tcMar>
          </w:tcPr>
          <w:p>
            <w:pPr>
              <w:spacing w:after="0"/>
              <w:jc w:val="left"/>
            </w:pPr>
            <w:r>
              <w:rPr>
                <w:sz w:val="20"/>
                <w:szCs w:val="20"/>
              </w:rPr>
              <w:t xml:space="preserve">High</w:t>
            </w:r>
          </w:p>
        </w:tc>
        <w:tc>
          <w:tcPr>
            <w:tcW w:type="dxa" w:w="5360"/>
            <w:tcMar>
              <w:top w:type="dxa" w:w="60"/>
              <w:left w:type="dxa" w:w="100"/>
              <w:bottom w:type="dxa" w:w="60"/>
              <w:right w:type="dxa" w:w="100"/>
            </w:tcMar>
          </w:tcPr>
          <w:p>
            <w:pPr>
              <w:spacing w:after="0"/>
              <w:jc w:val="left"/>
            </w:pPr>
            <w:r>
              <w:rPr>
                <w:sz w:val="20"/>
                <w:szCs w:val="20"/>
              </w:rPr>
              <w:t xml:space="preserve">Hurricane-resistant spacing, wind-breaks, staggered planting over three years, nursery replacement stock held at 10%; short-cycle intercrops maintain income</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Low seedling survival</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Certified material, mulch and water-harvesting kits, 12-month survival monitoring with replanting; lead-farmer follow-up</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Farmers sell outside the aggregation system</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Floor-price guarantee, prompt digital payment, group loyalty incentives, membership benefits in input stores</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Market absorption of breadfruit volume</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Freeze-drying and milling convert the perishable peak-season crop into shelf-stable product that can be sold over 12+ months; contracts signed before Year 3 harvest; export testing early</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Land tenure disputes</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Written landholder consent required; family land handled through RADA/legal aid partners; no programme claim on land</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Related-party concerns (charity ↔ CRM Jamaica Group)</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Disclosed arm's-length agreements, Steering Committee approval, independent audit, published accounts</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Shrewsbury lease term (10 years from 2022) shorter than tree life</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Seek extension/renewal from SCJ Holdings Limited as part of the transfer; farmer plantings are on farmer-held land and unaffected</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Praedial larceny</w:t>
            </w:r>
          </w:p>
        </w:tc>
        <w:tc>
          <w:tcPr>
            <w:tcW w:type="dxa" w:w="1200"/>
            <w:tcMar>
              <w:top w:type="dxa" w:w="60"/>
              <w:left w:type="dxa" w:w="100"/>
              <w:bottom w:type="dxa" w:w="60"/>
              <w:right w:type="dxa" w:w="100"/>
            </w:tcMar>
          </w:tcPr>
          <w:p>
            <w:pPr>
              <w:spacing w:after="0"/>
              <w:jc w:val="left"/>
            </w:pPr>
            <w:r>
              <w:rPr>
                <w:sz w:val="20"/>
                <w:szCs w:val="20"/>
              </w:rPr>
              <w:t xml:space="preserve">Medium</w:t>
            </w:r>
          </w:p>
        </w:tc>
        <w:tc>
          <w:tcPr>
            <w:tcW w:type="dxa" w:w="5360"/>
            <w:tcMar>
              <w:top w:type="dxa" w:w="60"/>
              <w:left w:type="dxa" w:w="100"/>
              <w:bottom w:type="dxa" w:w="60"/>
              <w:right w:type="dxa" w:w="100"/>
            </w:tcMar>
          </w:tcPr>
          <w:p>
            <w:pPr>
              <w:spacing w:after="0"/>
              <w:jc w:val="left"/>
            </w:pPr>
            <w:r>
              <w:rPr>
                <w:sz w:val="20"/>
                <w:szCs w:val="20"/>
              </w:rPr>
              <w:t xml:space="preserve">Group patrols, farm mapping and traceability, partnership with Praedial Larceny Prevention Unit</w:t>
            </w:r>
          </w:p>
        </w:tc>
      </w:tr>
      <w:tr>
        <w:trPr>
          <w:tblHeader w:val="false"/>
        </w:trPr>
        <w:tc>
          <w:tcPr>
            <w:tcW w:type="dxa" w:w="2800"/>
            <w:tcMar>
              <w:top w:type="dxa" w:w="60"/>
              <w:left w:type="dxa" w:w="100"/>
              <w:bottom w:type="dxa" w:w="60"/>
              <w:right w:type="dxa" w:w="100"/>
            </w:tcMar>
          </w:tcPr>
          <w:p>
            <w:pPr>
              <w:spacing w:after="0"/>
              <w:jc w:val="left"/>
            </w:pPr>
            <w:r>
              <w:rPr>
                <w:sz w:val="20"/>
                <w:szCs w:val="20"/>
              </w:rPr>
              <w:t xml:space="preserve">Grant disbursement delays</w:t>
            </w:r>
          </w:p>
        </w:tc>
        <w:tc>
          <w:tcPr>
            <w:tcW w:type="dxa" w:w="1200"/>
            <w:tcMar>
              <w:top w:type="dxa" w:w="60"/>
              <w:left w:type="dxa" w:w="100"/>
              <w:bottom w:type="dxa" w:w="60"/>
              <w:right w:type="dxa" w:w="100"/>
            </w:tcMar>
          </w:tcPr>
          <w:p>
            <w:pPr>
              <w:spacing w:after="0"/>
              <w:jc w:val="left"/>
            </w:pPr>
            <w:r>
              <w:rPr>
                <w:sz w:val="20"/>
                <w:szCs w:val="20"/>
              </w:rPr>
              <w:t xml:space="preserve">Low–Med</w:t>
            </w:r>
          </w:p>
        </w:tc>
        <w:tc>
          <w:tcPr>
            <w:tcW w:type="dxa" w:w="5360"/>
            <w:tcMar>
              <w:top w:type="dxa" w:w="60"/>
              <w:left w:type="dxa" w:w="100"/>
              <w:bottom w:type="dxa" w:w="60"/>
              <w:right w:type="dxa" w:w="100"/>
            </w:tcMar>
          </w:tcPr>
          <w:p>
            <w:pPr>
              <w:spacing w:after="0"/>
              <w:jc w:val="left"/>
            </w:pPr>
            <w:r>
              <w:rPr>
                <w:sz w:val="20"/>
                <w:szCs w:val="20"/>
              </w:rPr>
              <w:t xml:space="preserve">Pilot funded through GEF SGP/private co-financing to keep momentum; phased procurement</w:t>
            </w:r>
          </w:p>
        </w:tc>
      </w:tr>
    </w:tbl>
    <w:p>
      <w:pPr>
        <w:spacing w:after="120" w:line="276"/>
        <w:jc w:val="left"/>
      </w:pPr>
      <w:r>
        <w:rPr>
          <w:sz w:val="22"/>
          <w:szCs w:val="22"/>
        </w:rPr>
        <w:t xml:space="preserve"/>
      </w:r>
    </w:p>
    <w:p>
      <w:r>
        <w:br w:type="page"/>
      </w:r>
    </w:p>
    <w:p>
      <w:pPr>
        <w:pStyle w:val="Heading1"/>
        <w:spacing w:after="160" w:before="360"/>
      </w:pPr>
      <w:r>
        <w:rPr>
          <w:b/>
          <w:bCs/>
          <w:color w:val="1F5C3A"/>
          <w:sz w:val="30"/>
          <w:szCs w:val="30"/>
        </w:rPr>
        <w:t xml:space="preserve">10. Alignment with International Funders</w:t>
      </w:r>
    </w:p>
    <w:p>
      <w:pPr>
        <w:spacing w:after="120" w:line="276"/>
        <w:jc w:val="left"/>
      </w:pPr>
      <w:r>
        <w:rPr>
          <w:sz w:val="22"/>
          <w:szCs w:val="22"/>
        </w:rPr>
        <w:t xml:space="preserve">The programme has been deliberately framed as food security, poverty reduction, climate resilience and rural employment rather than as a commercial plantation. The table below maps its components to the priorities of the funders CRM JA Charity intends to approach.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3480"/>
      </w:tblGrid>
      <w:tr>
        <w:trPr>
          <w:tblHeader/>
        </w:trPr>
        <w:tc>
          <w:tcPr>
            <w:tcW w:type="dxa" w:w="2400"/>
            <w:shd w:fill="1F5C3A" w:color="auto" w:val="clear"/>
            <w:tcMar>
              <w:top w:type="dxa" w:w="60"/>
              <w:left w:type="dxa" w:w="100"/>
              <w:bottom w:type="dxa" w:w="60"/>
              <w:right w:type="dxa" w:w="100"/>
            </w:tcMar>
          </w:tcPr>
          <w:p>
            <w:pPr>
              <w:spacing w:after="0"/>
              <w:jc w:val="left"/>
            </w:pPr>
            <w:r>
              <w:rPr>
                <w:b/>
                <w:bCs/>
                <w:color w:val="FFFFFF"/>
                <w:sz w:val="20"/>
                <w:szCs w:val="20"/>
              </w:rPr>
              <w:t xml:space="preserve">Funder</w:t>
            </w:r>
          </w:p>
        </w:tc>
        <w:tc>
          <w:tcPr>
            <w:tcW w:type="dxa" w:w="3480"/>
            <w:shd w:fill="1F5C3A" w:color="auto" w:val="clear"/>
            <w:tcMar>
              <w:top w:type="dxa" w:w="60"/>
              <w:left w:type="dxa" w:w="100"/>
              <w:bottom w:type="dxa" w:w="60"/>
              <w:right w:type="dxa" w:w="100"/>
            </w:tcMar>
          </w:tcPr>
          <w:p>
            <w:pPr>
              <w:spacing w:after="0"/>
              <w:jc w:val="left"/>
            </w:pPr>
            <w:r>
              <w:rPr>
                <w:b/>
                <w:bCs/>
                <w:color w:val="FFFFFF"/>
                <w:sz w:val="20"/>
                <w:szCs w:val="20"/>
              </w:rPr>
              <w:t xml:space="preserve">Stated priorities the programme matches</w:t>
            </w:r>
          </w:p>
        </w:tc>
        <w:tc>
          <w:tcPr>
            <w:tcW w:type="dxa" w:w="3480"/>
            <w:shd w:fill="1F5C3A" w:color="auto" w:val="clear"/>
            <w:tcMar>
              <w:top w:type="dxa" w:w="60"/>
              <w:left w:type="dxa" w:w="100"/>
              <w:bottom w:type="dxa" w:w="60"/>
              <w:right w:type="dxa" w:w="100"/>
            </w:tcMar>
          </w:tcPr>
          <w:p>
            <w:pPr>
              <w:spacing w:after="0"/>
              <w:jc w:val="left"/>
            </w:pPr>
            <w:r>
              <w:rPr>
                <w:b/>
                <w:bCs/>
                <w:color w:val="FFFFFF"/>
                <w:sz w:val="20"/>
                <w:szCs w:val="20"/>
              </w:rPr>
              <w:t xml:space="preserve">Proposed route</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Green Climate Fund (ADAPT Jamaica, US$50M, FAO-supported)</w:t>
            </w:r>
          </w:p>
        </w:tc>
        <w:tc>
          <w:tcPr>
            <w:tcW w:type="dxa" w:w="3480"/>
            <w:tcMar>
              <w:top w:type="dxa" w:w="60"/>
              <w:left w:type="dxa" w:w="100"/>
              <w:bottom w:type="dxa" w:w="60"/>
              <w:right w:type="dxa" w:w="100"/>
            </w:tcMar>
          </w:tcPr>
          <w:p>
            <w:pPr>
              <w:spacing w:after="0"/>
              <w:jc w:val="left"/>
            </w:pPr>
            <w:r>
              <w:rPr>
                <w:sz w:val="20"/>
                <w:szCs w:val="20"/>
              </w:rPr>
              <w:t xml:space="preserve">Climate-resilient agriculture, agroforestry, soil conservation, vulnerable smallholders, food security</w:t>
            </w:r>
          </w:p>
        </w:tc>
        <w:tc>
          <w:tcPr>
            <w:tcW w:type="dxa" w:w="3480"/>
            <w:tcMar>
              <w:top w:type="dxa" w:w="60"/>
              <w:left w:type="dxa" w:w="100"/>
              <w:bottom w:type="dxa" w:w="60"/>
              <w:right w:type="dxa" w:w="100"/>
            </w:tcMar>
          </w:tcPr>
          <w:p>
            <w:pPr>
              <w:spacing w:after="0"/>
              <w:jc w:val="left"/>
            </w:pPr>
            <w:r>
              <w:rPr>
                <w:sz w:val="20"/>
                <w:szCs w:val="20"/>
              </w:rPr>
              <w:t xml:space="preserve">Position Phase I as a delivery component of the approved national programme via PIOJ, MoA and FAO</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FAO Jamaica</w:t>
            </w:r>
          </w:p>
        </w:tc>
        <w:tc>
          <w:tcPr>
            <w:tcW w:type="dxa" w:w="3480"/>
            <w:tcMar>
              <w:top w:type="dxa" w:w="60"/>
              <w:left w:type="dxa" w:w="100"/>
              <w:bottom w:type="dxa" w:w="60"/>
              <w:right w:type="dxa" w:w="100"/>
            </w:tcMar>
          </w:tcPr>
          <w:p>
            <w:pPr>
              <w:spacing w:after="0"/>
              <w:jc w:val="left"/>
            </w:pPr>
            <w:r>
              <w:rPr>
                <w:sz w:val="20"/>
                <w:szCs w:val="20"/>
              </w:rPr>
              <w:t xml:space="preserve">Value-chain development, food and nutrition security, resilient livelihoods</w:t>
            </w:r>
          </w:p>
        </w:tc>
        <w:tc>
          <w:tcPr>
            <w:tcW w:type="dxa" w:w="3480"/>
            <w:tcMar>
              <w:top w:type="dxa" w:w="60"/>
              <w:left w:type="dxa" w:w="100"/>
              <w:bottom w:type="dxa" w:w="60"/>
              <w:right w:type="dxa" w:w="100"/>
            </w:tcMar>
          </w:tcPr>
          <w:p>
            <w:pPr>
              <w:spacing w:after="0"/>
              <w:jc w:val="left"/>
            </w:pPr>
            <w:r>
              <w:rPr>
                <w:sz w:val="20"/>
                <w:szCs w:val="20"/>
              </w:rPr>
              <w:t xml:space="preserve">Technical cooperation and co-design; TCP or partnership under ADAPT Jamaica</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Adaptation Fund</w:t>
            </w:r>
          </w:p>
        </w:tc>
        <w:tc>
          <w:tcPr>
            <w:tcW w:type="dxa" w:w="3480"/>
            <w:tcMar>
              <w:top w:type="dxa" w:w="60"/>
              <w:left w:type="dxa" w:w="100"/>
              <w:bottom w:type="dxa" w:w="60"/>
              <w:right w:type="dxa" w:w="100"/>
            </w:tcMar>
          </w:tcPr>
          <w:p>
            <w:pPr>
              <w:spacing w:after="0"/>
              <w:jc w:val="left"/>
            </w:pPr>
            <w:r>
              <w:rPr>
                <w:sz w:val="20"/>
                <w:szCs w:val="20"/>
              </w:rPr>
              <w:t xml:space="preserve">Agriculture, food security, ecosystem-based adaptation, rural livelihoods</w:t>
            </w:r>
          </w:p>
        </w:tc>
        <w:tc>
          <w:tcPr>
            <w:tcW w:type="dxa" w:w="3480"/>
            <w:tcMar>
              <w:top w:type="dxa" w:w="60"/>
              <w:left w:type="dxa" w:w="100"/>
              <w:bottom w:type="dxa" w:w="60"/>
              <w:right w:type="dxa" w:w="100"/>
            </w:tcMar>
          </w:tcPr>
          <w:p>
            <w:pPr>
              <w:spacing w:after="0"/>
              <w:jc w:val="left"/>
            </w:pPr>
            <w:r>
              <w:rPr>
                <w:sz w:val="20"/>
                <w:szCs w:val="20"/>
              </w:rPr>
              <w:t xml:space="preserve">Through Jamaica's accredited national implementing entity (PIOJ)</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IFAD</w:t>
            </w:r>
          </w:p>
        </w:tc>
        <w:tc>
          <w:tcPr>
            <w:tcW w:type="dxa" w:w="3480"/>
            <w:tcMar>
              <w:top w:type="dxa" w:w="60"/>
              <w:left w:type="dxa" w:w="100"/>
              <w:bottom w:type="dxa" w:w="60"/>
              <w:right w:type="dxa" w:w="100"/>
            </w:tcMar>
          </w:tcPr>
          <w:p>
            <w:pPr>
              <w:spacing w:after="0"/>
              <w:jc w:val="left"/>
            </w:pPr>
            <w:r>
              <w:rPr>
                <w:sz w:val="20"/>
                <w:szCs w:val="20"/>
              </w:rPr>
              <w:t xml:space="preserve">Rural poverty reduction, smallholders, women and youth, farmer organisations</w:t>
            </w:r>
          </w:p>
        </w:tc>
        <w:tc>
          <w:tcPr>
            <w:tcW w:type="dxa" w:w="3480"/>
            <w:tcMar>
              <w:top w:type="dxa" w:w="60"/>
              <w:left w:type="dxa" w:w="100"/>
              <w:bottom w:type="dxa" w:w="60"/>
              <w:right w:type="dxa" w:w="100"/>
            </w:tcMar>
          </w:tcPr>
          <w:p>
            <w:pPr>
              <w:spacing w:after="0"/>
              <w:jc w:val="left"/>
            </w:pPr>
            <w:r>
              <w:rPr>
                <w:sz w:val="20"/>
                <w:szCs w:val="20"/>
              </w:rPr>
              <w:t xml:space="preserve">Government-led country programme; charity as implementing partner</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GEF Small Grants Programme</w:t>
            </w:r>
          </w:p>
        </w:tc>
        <w:tc>
          <w:tcPr>
            <w:tcW w:type="dxa" w:w="3480"/>
            <w:tcMar>
              <w:top w:type="dxa" w:w="60"/>
              <w:left w:type="dxa" w:w="100"/>
              <w:bottom w:type="dxa" w:w="60"/>
              <w:right w:type="dxa" w:w="100"/>
            </w:tcMar>
          </w:tcPr>
          <w:p>
            <w:pPr>
              <w:spacing w:after="0"/>
              <w:jc w:val="left"/>
            </w:pPr>
            <w:r>
              <w:rPr>
                <w:sz w:val="20"/>
                <w:szCs w:val="20"/>
              </w:rPr>
              <w:t xml:space="preserve">Community agroforestry, land restoration, food security</w:t>
            </w:r>
          </w:p>
        </w:tc>
        <w:tc>
          <w:tcPr>
            <w:tcW w:type="dxa" w:w="3480"/>
            <w:tcMar>
              <w:top w:type="dxa" w:w="60"/>
              <w:left w:type="dxa" w:w="100"/>
              <w:bottom w:type="dxa" w:w="60"/>
              <w:right w:type="dxa" w:w="100"/>
            </w:tcMar>
          </w:tcPr>
          <w:p>
            <w:pPr>
              <w:spacing w:after="0"/>
              <w:jc w:val="left"/>
            </w:pPr>
            <w:r>
              <w:rPr>
                <w:sz w:val="20"/>
                <w:szCs w:val="20"/>
              </w:rPr>
              <w:t xml:space="preserve">Direct application by CRM JA Charity for the 100-farmer pilot (~US$75,000 with matching co-financing)</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Caribbean Development Bank</w:t>
            </w:r>
          </w:p>
        </w:tc>
        <w:tc>
          <w:tcPr>
            <w:tcW w:type="dxa" w:w="3480"/>
            <w:tcMar>
              <w:top w:type="dxa" w:w="60"/>
              <w:left w:type="dxa" w:w="100"/>
              <w:bottom w:type="dxa" w:w="60"/>
              <w:right w:type="dxa" w:w="100"/>
            </w:tcMar>
          </w:tcPr>
          <w:p>
            <w:pPr>
              <w:spacing w:after="0"/>
              <w:jc w:val="left"/>
            </w:pPr>
            <w:r>
              <w:rPr>
                <w:sz w:val="20"/>
                <w:szCs w:val="20"/>
              </w:rPr>
              <w:t xml:space="preserve">Regional rural development, poverty, climate</w:t>
            </w:r>
          </w:p>
        </w:tc>
        <w:tc>
          <w:tcPr>
            <w:tcW w:type="dxa" w:w="3480"/>
            <w:tcMar>
              <w:top w:type="dxa" w:w="60"/>
              <w:left w:type="dxa" w:w="100"/>
              <w:bottom w:type="dxa" w:w="60"/>
              <w:right w:type="dxa" w:w="100"/>
            </w:tcMar>
          </w:tcPr>
          <w:p>
            <w:pPr>
              <w:spacing w:after="0"/>
              <w:jc w:val="left"/>
            </w:pPr>
            <w:r>
              <w:rPr>
                <w:sz w:val="20"/>
                <w:szCs w:val="20"/>
              </w:rPr>
              <w:t xml:space="preserve">Phase III regional design; CIIF-type windows for processing and branding</w:t>
            </w:r>
          </w:p>
        </w:tc>
      </w:tr>
      <w:tr>
        <w:trPr>
          <w:tblHeader w:val="false"/>
        </w:trPr>
        <w:tc>
          <w:tcPr>
            <w:tcW w:type="dxa" w:w="2400"/>
            <w:tcMar>
              <w:top w:type="dxa" w:w="60"/>
              <w:left w:type="dxa" w:w="100"/>
              <w:bottom w:type="dxa" w:w="60"/>
              <w:right w:type="dxa" w:w="100"/>
            </w:tcMar>
          </w:tcPr>
          <w:p>
            <w:pPr>
              <w:spacing w:after="0"/>
              <w:jc w:val="left"/>
            </w:pPr>
            <w:r>
              <w:rPr>
                <w:sz w:val="20"/>
                <w:szCs w:val="20"/>
              </w:rPr>
              <w:t xml:space="preserve">IDB / World Bank / EU Global Gateway / UNDP</w:t>
            </w:r>
          </w:p>
        </w:tc>
        <w:tc>
          <w:tcPr>
            <w:tcW w:type="dxa" w:w="3480"/>
            <w:tcMar>
              <w:top w:type="dxa" w:w="60"/>
              <w:left w:type="dxa" w:w="100"/>
              <w:bottom w:type="dxa" w:w="60"/>
              <w:right w:type="dxa" w:w="100"/>
            </w:tcMar>
          </w:tcPr>
          <w:p>
            <w:pPr>
              <w:spacing w:after="0"/>
              <w:jc w:val="left"/>
            </w:pPr>
            <w:r>
              <w:rPr>
                <w:sz w:val="20"/>
                <w:szCs w:val="20"/>
              </w:rPr>
              <w:t xml:space="preserve">Food systems, climate adaptation, rural development</w:t>
            </w:r>
          </w:p>
        </w:tc>
        <w:tc>
          <w:tcPr>
            <w:tcW w:type="dxa" w:w="3480"/>
            <w:tcMar>
              <w:top w:type="dxa" w:w="60"/>
              <w:left w:type="dxa" w:w="100"/>
              <w:bottom w:type="dxa" w:w="60"/>
              <w:right w:type="dxa" w:w="100"/>
            </w:tcMar>
          </w:tcPr>
          <w:p>
            <w:pPr>
              <w:spacing w:after="0"/>
              <w:jc w:val="left"/>
            </w:pPr>
            <w:r>
              <w:rPr>
                <w:sz w:val="20"/>
                <w:szCs w:val="20"/>
              </w:rPr>
              <w:t xml:space="preserve">Through government programmes; charity as delivery partner</w:t>
            </w:r>
          </w:p>
        </w:tc>
      </w:tr>
    </w:tbl>
    <w:p>
      <w:pPr>
        <w:spacing w:after="120" w:line="276"/>
        <w:jc w:val="left"/>
      </w:pPr>
      <w:r>
        <w:rPr>
          <w:sz w:val="22"/>
          <w:szCs w:val="22"/>
        </w:rPr>
        <w:t xml:space="preserve"/>
      </w:r>
    </w:p>
    <w:p>
      <w:pPr>
        <w:pStyle w:val="Heading1"/>
        <w:spacing w:after="160" w:before="360"/>
      </w:pPr>
      <w:r>
        <w:rPr>
          <w:b/>
          <w:bCs/>
          <w:color w:val="1F5C3A"/>
          <w:sz w:val="30"/>
          <w:szCs w:val="30"/>
        </w:rPr>
        <w:t xml:space="preserve">11. Next Steps</w:t>
      </w:r>
    </w:p>
    <w:p>
      <w:pPr>
        <w:pStyle w:val="ListParagraph"/>
        <w:numPr>
          <w:ilvl w:val="0"/>
          <w:numId w:val="3"/>
        </w:numPr>
        <w:spacing w:after="80" w:line="264"/>
      </w:pPr>
      <w:r>
        <w:rPr>
          <w:sz w:val="22"/>
          <w:szCs w:val="22"/>
        </w:rPr>
        <w:t xml:space="preserve">Confirm CRM JA Charity's registration certificate and complete a funding-mapping exercise identifying which windows are open for 2026/27, eligibility, grant size and deadlines.</w:t>
      </w:r>
    </w:p>
    <w:p>
      <w:pPr>
        <w:pStyle w:val="ListParagraph"/>
        <w:numPr>
          <w:ilvl w:val="0"/>
          <w:numId w:val="3"/>
        </w:numPr>
        <w:spacing w:after="80" w:line="264"/>
      </w:pPr>
      <w:r>
        <w:rPr>
          <w:sz w:val="22"/>
          <w:szCs w:val="22"/>
        </w:rPr>
        <w:t xml:space="preserve">Convene an initial round table with the Ministry of Agriculture, RADA, FAO Jamaica and PIOJ to explore positioning Phase I under ADAPT Jamaica.</w:t>
      </w:r>
    </w:p>
    <w:p>
      <w:pPr>
        <w:pStyle w:val="ListParagraph"/>
        <w:numPr>
          <w:ilvl w:val="0"/>
          <w:numId w:val="3"/>
        </w:numPr>
        <w:spacing w:after="80" w:line="264"/>
      </w:pPr>
      <w:r>
        <w:rPr>
          <w:sz w:val="22"/>
          <w:szCs w:val="22"/>
        </w:rPr>
        <w:t xml:space="preserve">Submit a GEF Small Grants concept note for the 100-farmer pilot.</w:t>
      </w:r>
    </w:p>
    <w:p>
      <w:pPr>
        <w:pStyle w:val="ListParagraph"/>
        <w:numPr>
          <w:ilvl w:val="0"/>
          <w:numId w:val="3"/>
        </w:numPr>
        <w:spacing w:after="80" w:line="264"/>
      </w:pPr>
      <w:r>
        <w:rPr>
          <w:sz w:val="22"/>
          <w:szCs w:val="22"/>
        </w:rPr>
        <w:t xml:space="preserve">Register farmer interest in Westmoreland through the Chamber of Commerce, service clubs and churches; target 300 pre-registrations.</w:t>
      </w:r>
    </w:p>
    <w:p>
      <w:pPr>
        <w:pStyle w:val="ListParagraph"/>
        <w:numPr>
          <w:ilvl w:val="0"/>
          <w:numId w:val="3"/>
        </w:numPr>
        <w:spacing w:after="80" w:line="264"/>
      </w:pPr>
      <w:r>
        <w:rPr>
          <w:sz w:val="22"/>
          <w:szCs w:val="22"/>
        </w:rPr>
        <w:t xml:space="preserve">Complete the detailed financial model, nursery plan and processing-centre design with agronomic and engineering input.</w:t>
      </w:r>
    </w:p>
    <w:p>
      <w:pPr>
        <w:pStyle w:val="ListParagraph"/>
        <w:numPr>
          <w:ilvl w:val="0"/>
          <w:numId w:val="3"/>
        </w:numPr>
        <w:spacing w:after="80" w:line="264"/>
      </w:pPr>
      <w:r>
        <w:rPr>
          <w:sz w:val="22"/>
          <w:szCs w:val="22"/>
        </w:rPr>
        <w:t xml:space="preserve">Complete the transfer of the Shrewsbury leasehold to CRM JA Charity with SCJ Holdings Limited's consent, and apply for a term extension.</w:t>
      </w:r>
    </w:p>
    <w:p>
      <w:pPr>
        <w:pStyle w:val="ListParagraph"/>
        <w:numPr>
          <w:ilvl w:val="0"/>
          <w:numId w:val="3"/>
        </w:numPr>
        <w:spacing w:after="80" w:line="264"/>
      </w:pPr>
      <w:r>
        <w:rPr>
          <w:sz w:val="22"/>
          <w:szCs w:val="22"/>
        </w:rPr>
        <w:t xml:space="preserve">Establish the Programme Steering Committee and adopt the related-party policy.</w:t>
      </w:r>
    </w:p>
    <w:p>
      <w:pPr>
        <w:pStyle w:val="ListParagraph"/>
        <w:numPr>
          <w:ilvl w:val="0"/>
          <w:numId w:val="3"/>
        </w:numPr>
        <w:spacing w:after="80" w:line="264"/>
      </w:pPr>
      <w:r>
        <w:rPr>
          <w:sz w:val="22"/>
          <w:szCs w:val="22"/>
        </w:rPr>
        <w:t xml:space="preserve">Launch the programme website, where farmers, funders, government agencies and individuals register and where the programme's progress, budget and accounts are published.</w:t>
      </w:r>
    </w:p>
    <w:p>
      <w:pPr>
        <w:spacing w:after="120" w:line="276"/>
        <w:jc w:val="left"/>
      </w:pPr>
      <w:r>
        <w:rPr>
          <w:sz w:val="22"/>
          <w:szCs w:val="22"/>
        </w:rPr>
        <w:t xml:space="preserve"/>
      </w:r>
    </w:p>
    <w:p>
      <w:pPr>
        <w:spacing w:after="120" w:line="276"/>
        <w:jc w:val="left"/>
      </w:pPr>
      <w:r>
        <w:rPr>
          <w:b/>
          <w:bCs/>
          <w:sz w:val="22"/>
          <w:szCs w:val="22"/>
        </w:rPr>
        <w:t xml:space="preserve">For further information:</w:t>
      </w:r>
    </w:p>
    <w:p>
      <w:pPr>
        <w:spacing w:after="120" w:line="276"/>
        <w:jc w:val="left"/>
      </w:pPr>
      <w:r>
        <w:rPr>
          <w:sz w:val="22"/>
          <w:szCs w:val="22"/>
        </w:rPr>
        <w:t xml:space="preserve">Norman Anderson, Chairman, CRM JA Charity</w:t>
      </w:r>
    </w:p>
    <w:p>
      <w:pPr>
        <w:spacing w:after="120" w:line="276"/>
        <w:jc w:val="left"/>
      </w:pPr>
      <w:r>
        <w:rPr>
          <w:sz w:val="22"/>
          <w:szCs w:val="22"/>
        </w:rPr>
        <w:t xml:space="preserve">CRM Center, Farm Pen Road, Savanna-la-Mar P.O., Westmoreland, Jamaica</w:t>
      </w:r>
    </w:p>
    <w:p>
      <w:pPr>
        <w:spacing w:after="120" w:line="276"/>
        <w:jc w:val="left"/>
      </w:pPr>
      <w:r>
        <w:rPr>
          <w:sz w:val="22"/>
          <w:szCs w:val="22"/>
        </w:rPr>
        <w:t xml:space="preserve">876-587-0097 · westcomjamaica@gmail.com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Page </w:t>
    </w:r>
    <w:r>
      <w:rPr>
        <w:color w:val="555555"/>
        <w:sz w:val="16"/>
        <w:szCs w:val="16"/>
      </w:rPr>
      <w:fldChar w:fldCharType="begin"/>
      <w:instrText xml:space="preserve">PAGE</w:instrText>
      <w:fldChar w:fldCharType="separate"/>
      <w:fldChar w:fldCharType="end"/>
    </w:r>
    <w:r>
      <w:rPr>
        <w:color w:val="555555"/>
        <w:sz w:val="16"/>
        <w:szCs w:val="16"/>
      </w:rPr>
      <w:t xml:space="preserve"> · Concept Note v1.2 · September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860B" w:sz="4"/>
      </w:pBdr>
      <w:jc w:val="right"/>
    </w:pPr>
    <w:r>
      <w:rPr>
        <w:color w:val="555555"/>
        <w:sz w:val="16"/>
        <w:szCs w:val="16"/>
      </w:rPr>
      <w:t xml:space="preserve">CRM JA Charity · Jamaica Food Security &amp; Climate-Resilient Tree Crop Programme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2026-09-13T12:14:41.119Z</dcterms:created>
  <dcterms:modified xsi:type="dcterms:W3CDTF">2026-09-13T12:14:41.129Z</dcterms:modified>
</cp:coreProperties>
</file>

<file path=docProps/custom.xml><?xml version="1.0" encoding="utf-8"?>
<Properties xmlns="http://schemas.openxmlformats.org/officeDocument/2006/custom-properties" xmlns:vt="http://schemas.openxmlformats.org/officeDocument/2006/docPropsVTypes"/>
</file>